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428750" cy="1428750"/>
            <wp:effectExtent t="0" r="0" b="0" l="0"/>
            <wp:docPr id="1" name="crest" descr="University crest" title="GBPUAT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40"/>
        <w:jc w:val="center"/>
      </w:pPr>
      <w:r>
        <w:rPr>
          <w:color w:val="808080"/>
          <w:spacing w:val="40"/>
          <w:sz w:val="16"/>
          <w:szCs w:val="16"/>
        </w:rPr>
        <w:t xml:space="preserve">VISUAL IDENTITY — EXTRACTED REFERENCE</w:t>
      </w:r>
    </w:p>
    <w:p>
      <w:pPr>
        <w:spacing w:after="40"/>
        <w:jc w:val="center"/>
      </w:pPr>
      <w:r>
        <w:rPr>
          <w:b/>
          <w:bCs/>
          <w:color w:val="79211C"/>
          <w:sz w:val="34"/>
          <w:szCs w:val="34"/>
        </w:rPr>
        <w:t xml:space="preserve">Govind Ballabh Pant University of Agriculture &amp; Technology</w:t>
      </w:r>
    </w:p>
    <w:p>
      <w:pPr>
        <w:spacing w:after="40"/>
        <w:jc w:val="center"/>
      </w:pPr>
      <w:r>
        <w:rPr>
          <w:color w:val="79211C"/>
          <w:sz w:val="22"/>
          <w:szCs w:val="22"/>
        </w:rPr>
        <w:t xml:space="preserve">गोविन्द बल्लभ पंत कृषि एवं प्रौद्योगिक विश्वविद्यालय</w:t>
      </w:r>
    </w:p>
    <w:p>
      <w:pPr>
        <w:spacing w:after="200"/>
        <w:jc w:val="center"/>
      </w:pPr>
      <w:r>
        <w:rPr>
          <w:color w:val="808080"/>
          <w:sz w:val="18"/>
          <w:szCs w:val="18"/>
        </w:rPr>
        <w:t xml:space="preserve">Pantnagar, Uttarakhand · An unofficial brand guideline derived from gbpuat.ac.in</w:t>
      </w:r>
    </w:p>
    <w:p>
      <w:pPr>
        <w:pStyle w:val="Heading1"/>
      </w:pPr>
      <w:r>
        <w:t xml:space="preserve">Overview</w:t>
      </w:r>
    </w:p>
    <w:p>
      <w:pPr>
        <w:spacing w:after="160"/>
      </w:pPr>
      <w:r>
        <w:rPr>
          <w:i/>
          <w:iCs/>
          <w:color w:val="808080"/>
          <w:sz w:val="22"/>
          <w:szCs w:val="22"/>
        </w:rPr>
        <w:t xml:space="preserve">This document captures and rationalises the visual identity used across the university's public website into a usable brand reference for consistent internal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A8" w:sz="4"/>
              <w:left w:val="single" w:color="F0E0A8" w:sz="4"/>
              <w:bottom w:val="single" w:color="F0E0A8" w:sz="4"/>
              <w:right w:val="single" w:color="F0E0A8" w:sz="4"/>
            </w:tcBorders>
            <w:shd w:fill="FFF8E6" w:val="clear"/>
            <w:tcMar>
              <w:top w:type="dxa" w:w="120"/>
              <w:left w:type="dxa" w:w="160"/>
              <w:bottom w:type="dxa" w:w="120"/>
              <w:right w:type="dxa" w:w="160"/>
            </w:tcMar>
          </w:tcPr>
          <w:p>
            <w:r>
              <w:rPr>
                <w:b/>
                <w:bCs/>
              </w:rPr>
              <w:t xml:space="preserve">Status. </w:t>
            </w:r>
            <w:r>
              <w:t xml:space="preserve">This is an unofficial guideline extracted from the live website. It is not an authorised university brand manual. Colours and type were sampled from gbpuat.ac.in on 04 July 2026. Where the site used framework defaults or inconsistent values, they have been rationalised into a coherent system and noted in the Source Notes.</w:t>
            </w:r>
          </w:p>
        </w:tc>
      </w:tr>
    </w:tbl>
    <w:p>
      <w:pPr>
        <w:spacing w:after="80"/>
      </w:pPr>
      <w:r>
        <w:t xml:space="preserve"/>
      </w:r>
    </w:p>
    <w:p>
      <w:pPr>
        <w:spacing w:after="120"/>
      </w:pPr>
      <w:r>
        <w:t xml:space="preserve">The identity reflects the institution's character: a land-grant agricultural university with a heritage rooted in earth tones, balanced by clear neutral typography for a bilingual (Hindi and English) audience. The palette centres on institutional maroon and earthen rust, supported by an agricultural green and a fresh teal accent.</w:t>
      </w:r>
    </w:p>
    <w:p>
      <w:pPr>
        <w:pStyle w:val="Heading1"/>
      </w:pPr>
      <w:r>
        <w:t xml:space="preserve">Logo</w:t>
      </w:r>
    </w:p>
    <w:p>
      <w:pPr>
        <w:spacing w:after="160"/>
      </w:pPr>
      <w:r>
        <w:rPr>
          <w:i/>
          <w:iCs/>
          <w:color w:val="808080"/>
          <w:sz w:val="22"/>
          <w:szCs w:val="22"/>
        </w:rPr>
        <w:t xml:space="preserve">The university crest is the primary identity mark. It carries the full institutional name in Hindi and English and should always be reproduced from the high-resolution master.</w:t>
      </w:r>
    </w:p>
    <w:p>
      <w:pPr>
        <w:spacing w:after="120"/>
      </w:pPr>
      <w:r>
        <w:drawing>
          <wp:inline distT="0" distB="0" distL="0" distR="0">
            <wp:extent cx="1143000" cy="1143000"/>
            <wp:effectExtent t="0" r="0" b="0" l="0"/>
            <wp:docPr id="1" name="crest2" descr="crest" title="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Heading3"/>
      </w:pPr>
      <w:r>
        <w:t xml:space="preserve">Clear space &amp; minimum size</w:t>
      </w:r>
    </w:p>
    <w:p>
      <w:pPr>
        <w:spacing w:after="120"/>
      </w:pPr>
      <w:r>
        <w:t xml:space="preserve">Maintain clear space around the crest equal to at least 25% of its width on all sides. Do not reproduce the crest below 40px (screen) or 15mm (print) in diameter, below which the inner detail and text become illegible.</w:t>
      </w:r>
    </w:p>
    <w:p>
      <w:pPr>
        <w:pStyle w:val="Heading3"/>
      </w:pPr>
      <w:r>
        <w:t xml:space="preserve">Do</w:t>
      </w:r>
    </w:p>
    <w:p>
      <w:pPr>
        <w:pStyle w:val="ListParagraph"/>
        <w:numPr>
          <w:ilvl w:val="0"/>
          <w:numId w:val="2"/>
        </w:numPr>
        <w:spacing w:after="60"/>
      </w:pPr>
      <w:r>
        <w:t xml:space="preserve">Use the official high-resolution crest master.</w:t>
      </w:r>
    </w:p>
    <w:p>
      <w:pPr>
        <w:pStyle w:val="ListParagraph"/>
        <w:numPr>
          <w:ilvl w:val="0"/>
          <w:numId w:val="2"/>
        </w:numPr>
        <w:spacing w:after="60"/>
      </w:pPr>
      <w:r>
        <w:t xml:space="preserve">Preserve the circular proportion and full detail.</w:t>
      </w:r>
    </w:p>
    <w:p>
      <w:pPr>
        <w:pStyle w:val="ListParagraph"/>
        <w:numPr>
          <w:ilvl w:val="0"/>
          <w:numId w:val="2"/>
        </w:numPr>
        <w:spacing w:after="60"/>
      </w:pPr>
      <w:r>
        <w:t xml:space="preserve">Place on white or a white panel when over colour or photography.</w:t>
      </w:r>
    </w:p>
    <w:p>
      <w:pPr>
        <w:pStyle w:val="ListParagraph"/>
        <w:numPr>
          <w:ilvl w:val="0"/>
          <w:numId w:val="2"/>
        </w:numPr>
        <w:spacing w:after="60"/>
      </w:pPr>
      <w:r>
        <w:t xml:space="preserve">Keep generous clear space around the mark.</w:t>
      </w:r>
    </w:p>
    <w:p>
      <w:pPr>
        <w:pStyle w:val="Heading3"/>
      </w:pPr>
      <w:r>
        <w:t xml:space="preserve">Don't</w:t>
      </w:r>
    </w:p>
    <w:p>
      <w:pPr>
        <w:pStyle w:val="ListParagraph"/>
        <w:numPr>
          <w:ilvl w:val="0"/>
          <w:numId w:val="2"/>
        </w:numPr>
        <w:spacing w:after="60"/>
      </w:pPr>
      <w:r>
        <w:t xml:space="preserve">Recolour, flatten or add effects to the crest.</w:t>
      </w:r>
    </w:p>
    <w:p>
      <w:pPr>
        <w:pStyle w:val="ListParagraph"/>
        <w:numPr>
          <w:ilvl w:val="0"/>
          <w:numId w:val="2"/>
        </w:numPr>
        <w:spacing w:after="60"/>
      </w:pPr>
      <w:r>
        <w:t xml:space="preserve">Stretch, rotate or crop the mark.</w:t>
      </w:r>
    </w:p>
    <w:p>
      <w:pPr>
        <w:pStyle w:val="ListParagraph"/>
        <w:numPr>
          <w:ilvl w:val="0"/>
          <w:numId w:val="2"/>
        </w:numPr>
        <w:spacing w:after="60"/>
      </w:pPr>
      <w:r>
        <w:t xml:space="preserve">Place the crest on a busy background without a panel.</w:t>
      </w:r>
    </w:p>
    <w:p>
      <w:pPr>
        <w:pStyle w:val="ListParagraph"/>
        <w:numPr>
          <w:ilvl w:val="0"/>
          <w:numId w:val="2"/>
        </w:numPr>
        <w:spacing w:after="60"/>
      </w:pPr>
      <w:r>
        <w:t xml:space="preserve">Recreate or approximate the emblem from memory.</w:t>
      </w:r>
    </w:p>
    <w:p>
      <w:pPr>
        <w:pStyle w:val="Heading1"/>
      </w:pPr>
      <w:r>
        <w:t xml:space="preserve">Colour</w:t>
      </w:r>
    </w:p>
    <w:p>
      <w:pPr>
        <w:spacing w:after="160"/>
      </w:pPr>
      <w:r>
        <w:rPr>
          <w:i/>
          <w:iCs/>
          <w:color w:val="808080"/>
          <w:sz w:val="22"/>
          <w:szCs w:val="22"/>
        </w:rPr>
        <w:t xml:space="preserve">A rationalised palette built around the institutional maroon and earthen rust sampled from the site, with a functional accent and neutral set for text and interface.</w:t>
      </w:r>
    </w:p>
    <w:p>
      <w:pPr>
        <w:pStyle w:val="Heading3"/>
      </w:pPr>
      <w: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79211C" w:val="clear"/>
            <w:tcMar>
              <w:top w:type="dxa" w:w="140"/>
              <w:left w:type="dxa" w:w="140"/>
              <w:bottom w:type="dxa" w:w="140"/>
              <w:right w:type="dxa" w:w="140"/>
            </w:tcMar>
          </w:tcPr>
          <w:p>
            <w:pPr>
              <w:spacing w:after="20"/>
            </w:pPr>
            <w:r>
              <w:rPr>
                <w:b/>
                <w:bCs/>
                <w:color w:val="FFFFFF"/>
                <w:sz w:val="20"/>
                <w:szCs w:val="20"/>
              </w:rPr>
              <w:t xml:space="preserve">Institutional Maroon</w:t>
            </w:r>
          </w:p>
          <w:p>
            <w:pPr>
              <w:spacing w:after="0"/>
            </w:pPr>
            <w:r>
              <w:rPr>
                <w:color w:val="FFFFFF"/>
                <w:sz w:val="18"/>
                <w:szCs w:val="18"/>
              </w:rPr>
              <w:t xml:space="preserve">#79211C</w:t>
            </w:r>
          </w:p>
          <w:p>
            <w:pPr>
              <w:spacing w:after="0"/>
            </w:pPr>
            <w:r>
              <w:rPr>
                <w:color w:val="FFFFFF"/>
                <w:sz w:val="16"/>
                <w:szCs w:val="16"/>
              </w:rPr>
              <w:t xml:space="preserve">121, 33, 28</w:t>
            </w:r>
          </w:p>
        </w:tc>
        <w:tc>
          <w:tcPr>
            <w:tcW w:type="dxa" w:w="3120"/>
            <w:tcBorders>
              <w:top w:val="single" w:color="CCCCCC" w:sz="2"/>
              <w:left w:val="single" w:color="CCCCCC" w:sz="2"/>
              <w:bottom w:val="single" w:color="CCCCCC" w:sz="2"/>
              <w:right w:val="single" w:color="CCCCCC" w:sz="2"/>
            </w:tcBorders>
            <w:shd w:fill="962901" w:val="clear"/>
            <w:tcMar>
              <w:top w:type="dxa" w:w="140"/>
              <w:left w:type="dxa" w:w="140"/>
              <w:bottom w:type="dxa" w:w="140"/>
              <w:right w:type="dxa" w:w="140"/>
            </w:tcMar>
          </w:tcPr>
          <w:p>
            <w:pPr>
              <w:spacing w:after="20"/>
            </w:pPr>
            <w:r>
              <w:rPr>
                <w:b/>
                <w:bCs/>
                <w:color w:val="FFFFFF"/>
                <w:sz w:val="20"/>
                <w:szCs w:val="20"/>
              </w:rPr>
              <w:t xml:space="preserve">Earthen Rust</w:t>
            </w:r>
          </w:p>
          <w:p>
            <w:pPr>
              <w:spacing w:after="0"/>
            </w:pPr>
            <w:r>
              <w:rPr>
                <w:color w:val="FFFFFF"/>
                <w:sz w:val="18"/>
                <w:szCs w:val="18"/>
              </w:rPr>
              <w:t xml:space="preserve">#962901</w:t>
            </w:r>
          </w:p>
          <w:p>
            <w:pPr>
              <w:spacing w:after="0"/>
            </w:pPr>
            <w:r>
              <w:rPr>
                <w:color w:val="FFFFFF"/>
                <w:sz w:val="16"/>
                <w:szCs w:val="16"/>
              </w:rPr>
              <w:t xml:space="preserve">150, 41, 1</w:t>
            </w:r>
          </w:p>
        </w:tc>
        <w:tc>
          <w:tcPr>
            <w:tcW w:type="dxa" w:w="3120"/>
            <w:tcBorders>
              <w:top w:val="none" w:color="FFFFFF" w:sz="0"/>
              <w:left w:val="none" w:color="FFFFFF" w:sz="0"/>
              <w:bottom w:val="none" w:color="FFFFFF" w:sz="0"/>
              <w:right w:val="none" w:color="FFFFFF" w:sz="0"/>
            </w:tcBorders>
          </w:tcPr>
          <w:p>
            <w:r>
              <w:t xml:space="preserve"/>
            </w:r>
          </w:p>
        </w:tc>
      </w:tr>
    </w:tbl>
    <w:p>
      <w:pPr>
        <w:spacing w:after="80"/>
      </w:pPr>
      <w:r>
        <w:t xml:space="preserve"/>
      </w:r>
    </w:p>
    <w:p>
      <w:pPr>
        <w:pStyle w:val="Heading3"/>
      </w:pPr>
      <w:r>
        <w:t xml:space="preserve">Secondary &amp;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26CCCA" w:val="clear"/>
            <w:tcMar>
              <w:top w:type="dxa" w:w="140"/>
              <w:left w:type="dxa" w:w="140"/>
              <w:bottom w:type="dxa" w:w="140"/>
              <w:right w:type="dxa" w:w="140"/>
            </w:tcMar>
          </w:tcPr>
          <w:p>
            <w:pPr>
              <w:spacing w:after="20"/>
            </w:pPr>
            <w:r>
              <w:rPr>
                <w:b/>
                <w:bCs/>
                <w:color w:val="212529"/>
                <w:sz w:val="20"/>
                <w:szCs w:val="20"/>
              </w:rPr>
              <w:t xml:space="preserve">Teal Accent</w:t>
            </w:r>
          </w:p>
          <w:p>
            <w:pPr>
              <w:spacing w:after="0"/>
            </w:pPr>
            <w:r>
              <w:rPr>
                <w:color w:val="212529"/>
                <w:sz w:val="18"/>
                <w:szCs w:val="18"/>
              </w:rPr>
              <w:t xml:space="preserve">#26CCCA</w:t>
            </w:r>
          </w:p>
          <w:p>
            <w:pPr>
              <w:spacing w:after="0"/>
            </w:pPr>
            <w:r>
              <w:rPr>
                <w:color w:val="212529"/>
                <w:sz w:val="16"/>
                <w:szCs w:val="16"/>
              </w:rPr>
              <w:t xml:space="preserve">38, 204, 202</w:t>
            </w:r>
          </w:p>
        </w:tc>
        <w:tc>
          <w:tcPr>
            <w:tcW w:type="dxa" w:w="3120"/>
            <w:tcBorders>
              <w:top w:val="single" w:color="CCCCCC" w:sz="2"/>
              <w:left w:val="single" w:color="CCCCCC" w:sz="2"/>
              <w:bottom w:val="single" w:color="CCCCCC" w:sz="2"/>
              <w:right w:val="single" w:color="CCCCCC" w:sz="2"/>
            </w:tcBorders>
            <w:shd w:fill="008000" w:val="clear"/>
            <w:tcMar>
              <w:top w:type="dxa" w:w="140"/>
              <w:left w:type="dxa" w:w="140"/>
              <w:bottom w:type="dxa" w:w="140"/>
              <w:right w:type="dxa" w:w="140"/>
            </w:tcMar>
          </w:tcPr>
          <w:p>
            <w:pPr>
              <w:spacing w:after="20"/>
            </w:pPr>
            <w:r>
              <w:rPr>
                <w:b/>
                <w:bCs/>
                <w:color w:val="FFFFFF"/>
                <w:sz w:val="20"/>
                <w:szCs w:val="20"/>
              </w:rPr>
              <w:t xml:space="preserve">Agri Green</w:t>
            </w:r>
          </w:p>
          <w:p>
            <w:pPr>
              <w:spacing w:after="0"/>
            </w:pPr>
            <w:r>
              <w:rPr>
                <w:color w:val="FFFFFF"/>
                <w:sz w:val="18"/>
                <w:szCs w:val="18"/>
              </w:rPr>
              <w:t xml:space="preserve">#008000</w:t>
            </w:r>
          </w:p>
          <w:p>
            <w:pPr>
              <w:spacing w:after="0"/>
            </w:pPr>
            <w:r>
              <w:rPr>
                <w:color w:val="FFFFFF"/>
                <w:sz w:val="16"/>
                <w:szCs w:val="16"/>
              </w:rPr>
              <w:t xml:space="preserve">0, 128, 0</w:t>
            </w:r>
          </w:p>
        </w:tc>
        <w:tc>
          <w:tcPr>
            <w:tcW w:type="dxa" w:w="3120"/>
            <w:tcBorders>
              <w:top w:val="single" w:color="CCCCCC" w:sz="2"/>
              <w:left w:val="single" w:color="CCCCCC" w:sz="2"/>
              <w:bottom w:val="single" w:color="CCCCCC" w:sz="2"/>
              <w:right w:val="single" w:color="CCCCCC" w:sz="2"/>
            </w:tcBorders>
            <w:shd w:fill="2C67A0" w:val="clear"/>
            <w:tcMar>
              <w:top w:type="dxa" w:w="140"/>
              <w:left w:type="dxa" w:w="140"/>
              <w:bottom w:type="dxa" w:w="140"/>
              <w:right w:type="dxa" w:w="140"/>
            </w:tcMar>
          </w:tcPr>
          <w:p>
            <w:pPr>
              <w:spacing w:after="20"/>
            </w:pPr>
            <w:r>
              <w:rPr>
                <w:b/>
                <w:bCs/>
                <w:color w:val="FFFFFF"/>
                <w:sz w:val="20"/>
                <w:szCs w:val="20"/>
              </w:rPr>
              <w:t xml:space="preserve">Steel Blue</w:t>
            </w:r>
          </w:p>
          <w:p>
            <w:pPr>
              <w:spacing w:after="0"/>
            </w:pPr>
            <w:r>
              <w:rPr>
                <w:color w:val="FFFFFF"/>
                <w:sz w:val="18"/>
                <w:szCs w:val="18"/>
              </w:rPr>
              <w:t xml:space="preserve">#2C67A0</w:t>
            </w:r>
          </w:p>
          <w:p>
            <w:pPr>
              <w:spacing w:after="0"/>
            </w:pPr>
            <w:r>
              <w:rPr>
                <w:color w:val="FFFFFF"/>
                <w:sz w:val="16"/>
                <w:szCs w:val="16"/>
              </w:rPr>
              <w:t xml:space="preserve">44, 103, 160</w:t>
            </w:r>
          </w:p>
        </w:tc>
      </w:tr>
      <w:tr>
        <w:tc>
          <w:tcPr>
            <w:tcW w:type="dxa" w:w="3120"/>
            <w:tcBorders>
              <w:top w:val="single" w:color="CCCCCC" w:sz="2"/>
              <w:left w:val="single" w:color="CCCCCC" w:sz="2"/>
              <w:bottom w:val="single" w:color="CCCCCC" w:sz="2"/>
              <w:right w:val="single" w:color="CCCCCC" w:sz="2"/>
            </w:tcBorders>
            <w:shd w:fill="1E90FF" w:val="clear"/>
            <w:tcMar>
              <w:top w:type="dxa" w:w="140"/>
              <w:left w:type="dxa" w:w="140"/>
              <w:bottom w:type="dxa" w:w="140"/>
              <w:right w:type="dxa" w:w="140"/>
            </w:tcMar>
          </w:tcPr>
          <w:p>
            <w:pPr>
              <w:spacing w:after="20"/>
            </w:pPr>
            <w:r>
              <w:rPr>
                <w:b/>
                <w:bCs/>
                <w:color w:val="FFFFFF"/>
                <w:sz w:val="20"/>
                <w:szCs w:val="20"/>
              </w:rPr>
              <w:t xml:space="preserve">Link Sky</w:t>
            </w:r>
          </w:p>
          <w:p>
            <w:pPr>
              <w:spacing w:after="0"/>
            </w:pPr>
            <w:r>
              <w:rPr>
                <w:color w:val="FFFFFF"/>
                <w:sz w:val="18"/>
                <w:szCs w:val="18"/>
              </w:rPr>
              <w:t xml:space="preserve">#1E90FF</w:t>
            </w:r>
          </w:p>
          <w:p>
            <w:pPr>
              <w:spacing w:after="0"/>
            </w:pPr>
            <w:r>
              <w:rPr>
                <w:color w:val="FFFFFF"/>
                <w:sz w:val="16"/>
                <w:szCs w:val="16"/>
              </w:rPr>
              <w:t xml:space="preserve">30, 144, 255</w:t>
            </w:r>
          </w:p>
        </w:tc>
        <w:tc>
          <w:tcPr>
            <w:tcW w:type="dxa" w:w="3120"/>
            <w:tcBorders>
              <w:top w:val="none" w:color="FFFFFF" w:sz="0"/>
              <w:left w:val="none" w:color="FFFFFF" w:sz="0"/>
              <w:bottom w:val="none" w:color="FFFFFF" w:sz="0"/>
              <w:right w:val="none" w:color="FFFFFF" w:sz="0"/>
            </w:tcBorders>
          </w:tcPr>
          <w:p>
            <w:r>
              <w:t xml:space="preserve"/>
            </w:r>
          </w:p>
        </w:tc>
        <w:tc>
          <w:tcPr>
            <w:tcW w:type="dxa" w:w="3120"/>
            <w:tcBorders>
              <w:top w:val="none" w:color="FFFFFF" w:sz="0"/>
              <w:left w:val="none" w:color="FFFFFF" w:sz="0"/>
              <w:bottom w:val="none" w:color="FFFFFF" w:sz="0"/>
              <w:right w:val="none" w:color="FFFFFF" w:sz="0"/>
            </w:tcBorders>
          </w:tcPr>
          <w:p>
            <w:r>
              <w:t xml:space="preserve"/>
            </w:r>
          </w:p>
        </w:tc>
      </w:tr>
    </w:tbl>
    <w:p>
      <w:pPr>
        <w:spacing w:after="80"/>
      </w:pPr>
      <w:r>
        <w:t xml:space="preserve"/>
      </w:r>
    </w:p>
    <w:p>
      <w:pPr>
        <w:pStyle w:val="Heading3"/>
      </w:pPr>
      <w: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212529" w:val="clear"/>
            <w:tcMar>
              <w:top w:type="dxa" w:w="140"/>
              <w:left w:type="dxa" w:w="140"/>
              <w:bottom w:type="dxa" w:w="140"/>
              <w:right w:type="dxa" w:w="140"/>
            </w:tcMar>
          </w:tcPr>
          <w:p>
            <w:pPr>
              <w:spacing w:after="20"/>
            </w:pPr>
            <w:r>
              <w:rPr>
                <w:b/>
                <w:bCs/>
                <w:color w:val="FFFFFF"/>
                <w:sz w:val="20"/>
                <w:szCs w:val="20"/>
              </w:rPr>
              <w:t xml:space="preserve">Ink</w:t>
            </w:r>
          </w:p>
          <w:p>
            <w:pPr>
              <w:spacing w:after="0"/>
            </w:pPr>
            <w:r>
              <w:rPr>
                <w:color w:val="FFFFFF"/>
                <w:sz w:val="18"/>
                <w:szCs w:val="18"/>
              </w:rPr>
              <w:t xml:space="preserve">#212529</w:t>
            </w:r>
          </w:p>
          <w:p>
            <w:pPr>
              <w:spacing w:after="0"/>
            </w:pPr>
            <w:r>
              <w:rPr>
                <w:color w:val="FFFFFF"/>
                <w:sz w:val="16"/>
                <w:szCs w:val="16"/>
              </w:rPr>
              <w:t xml:space="preserve">33, 37, 41</w:t>
            </w:r>
          </w:p>
        </w:tc>
        <w:tc>
          <w:tcPr>
            <w:tcW w:type="dxa" w:w="3120"/>
            <w:tcBorders>
              <w:top w:val="single" w:color="CCCCCC" w:sz="2"/>
              <w:left w:val="single" w:color="CCCCCC" w:sz="2"/>
              <w:bottom w:val="single" w:color="CCCCCC" w:sz="2"/>
              <w:right w:val="single" w:color="CCCCCC" w:sz="2"/>
            </w:tcBorders>
            <w:shd w:fill="333333" w:val="clear"/>
            <w:tcMar>
              <w:top w:type="dxa" w:w="140"/>
              <w:left w:type="dxa" w:w="140"/>
              <w:bottom w:type="dxa" w:w="140"/>
              <w:right w:type="dxa" w:w="140"/>
            </w:tcMar>
          </w:tcPr>
          <w:p>
            <w:pPr>
              <w:spacing w:after="20"/>
            </w:pPr>
            <w:r>
              <w:rPr>
                <w:b/>
                <w:bCs/>
                <w:color w:val="FFFFFF"/>
                <w:sz w:val="20"/>
                <w:szCs w:val="20"/>
              </w:rPr>
              <w:t xml:space="preserve">Graphite</w:t>
            </w:r>
          </w:p>
          <w:p>
            <w:pPr>
              <w:spacing w:after="0"/>
            </w:pPr>
            <w:r>
              <w:rPr>
                <w:color w:val="FFFFFF"/>
                <w:sz w:val="18"/>
                <w:szCs w:val="18"/>
              </w:rPr>
              <w:t xml:space="preserve">#333333</w:t>
            </w:r>
          </w:p>
          <w:p>
            <w:pPr>
              <w:spacing w:after="0"/>
            </w:pPr>
            <w:r>
              <w:rPr>
                <w:color w:val="FFFFFF"/>
                <w:sz w:val="16"/>
                <w:szCs w:val="16"/>
              </w:rPr>
              <w:t xml:space="preserve"/>
            </w:r>
          </w:p>
        </w:tc>
        <w:tc>
          <w:tcPr>
            <w:tcW w:type="dxa" w:w="3120"/>
            <w:tcBorders>
              <w:top w:val="single" w:color="CCCCCC" w:sz="2"/>
              <w:left w:val="single" w:color="CCCCCC" w:sz="2"/>
              <w:bottom w:val="single" w:color="CCCCCC" w:sz="2"/>
              <w:right w:val="single" w:color="CCCCCC" w:sz="2"/>
            </w:tcBorders>
            <w:shd w:fill="808080" w:val="clear"/>
            <w:tcMar>
              <w:top w:type="dxa" w:w="140"/>
              <w:left w:type="dxa" w:w="140"/>
              <w:bottom w:type="dxa" w:w="140"/>
              <w:right w:type="dxa" w:w="140"/>
            </w:tcMar>
          </w:tcPr>
          <w:p>
            <w:pPr>
              <w:spacing w:after="20"/>
            </w:pPr>
            <w:r>
              <w:rPr>
                <w:b/>
                <w:bCs/>
                <w:color w:val="FFFFFF"/>
                <w:sz w:val="20"/>
                <w:szCs w:val="20"/>
              </w:rPr>
              <w:t xml:space="preserve">Mid Grey</w:t>
            </w:r>
          </w:p>
          <w:p>
            <w:pPr>
              <w:spacing w:after="0"/>
            </w:pPr>
            <w:r>
              <w:rPr>
                <w:color w:val="FFFFFF"/>
                <w:sz w:val="18"/>
                <w:szCs w:val="18"/>
              </w:rPr>
              <w:t xml:space="preserve">#808080</w:t>
            </w:r>
          </w:p>
          <w:p>
            <w:pPr>
              <w:spacing w:after="0"/>
            </w:pPr>
            <w:r>
              <w:rPr>
                <w:color w:val="FFFFFF"/>
                <w:sz w:val="16"/>
                <w:szCs w:val="16"/>
              </w:rPr>
              <w:t xml:space="preserve"/>
            </w:r>
          </w:p>
        </w:tc>
      </w:tr>
      <w:tr>
        <w:tc>
          <w:tcPr>
            <w:tcW w:type="dxa" w:w="3120"/>
            <w:tcBorders>
              <w:top w:val="single" w:color="CCCCCC" w:sz="2"/>
              <w:left w:val="single" w:color="CCCCCC" w:sz="2"/>
              <w:bottom w:val="single" w:color="CCCCCC" w:sz="2"/>
              <w:right w:val="single" w:color="CCCCCC" w:sz="2"/>
            </w:tcBorders>
            <w:shd w:fill="CCCCCC" w:val="clear"/>
            <w:tcMar>
              <w:top w:type="dxa" w:w="140"/>
              <w:left w:type="dxa" w:w="140"/>
              <w:bottom w:type="dxa" w:w="140"/>
              <w:right w:type="dxa" w:w="140"/>
            </w:tcMar>
          </w:tcPr>
          <w:p>
            <w:pPr>
              <w:spacing w:after="20"/>
            </w:pPr>
            <w:r>
              <w:rPr>
                <w:b/>
                <w:bCs/>
                <w:color w:val="212529"/>
                <w:sz w:val="20"/>
                <w:szCs w:val="20"/>
              </w:rPr>
              <w:t xml:space="preserve">Line Grey</w:t>
            </w:r>
          </w:p>
          <w:p>
            <w:pPr>
              <w:spacing w:after="0"/>
            </w:pPr>
            <w:r>
              <w:rPr>
                <w:color w:val="212529"/>
                <w:sz w:val="18"/>
                <w:szCs w:val="18"/>
              </w:rPr>
              <w:t xml:space="preserve">#CCCCCC</w:t>
            </w:r>
          </w:p>
          <w:p>
            <w:pPr>
              <w:spacing w:after="0"/>
            </w:pPr>
            <w:r>
              <w:rPr>
                <w:color w:val="212529"/>
                <w:sz w:val="16"/>
                <w:szCs w:val="16"/>
              </w:rPr>
              <w:t xml:space="preserve"/>
            </w:r>
          </w:p>
        </w:tc>
        <w:tc>
          <w:tcPr>
            <w:tcW w:type="dxa" w:w="3120"/>
            <w:tcBorders>
              <w:top w:val="single" w:color="CCCCCC" w:sz="2"/>
              <w:left w:val="single" w:color="CCCCCC" w:sz="2"/>
              <w:bottom w:val="single" w:color="CCCCCC" w:sz="2"/>
              <w:right w:val="single" w:color="CCCCCC" w:sz="2"/>
            </w:tcBorders>
            <w:shd w:fill="ECECEC" w:val="clear"/>
            <w:tcMar>
              <w:top w:type="dxa" w:w="140"/>
              <w:left w:type="dxa" w:w="140"/>
              <w:bottom w:type="dxa" w:w="140"/>
              <w:right w:type="dxa" w:w="140"/>
            </w:tcMar>
          </w:tcPr>
          <w:p>
            <w:pPr>
              <w:spacing w:after="20"/>
            </w:pPr>
            <w:r>
              <w:rPr>
                <w:b/>
                <w:bCs/>
                <w:color w:val="212529"/>
                <w:sz w:val="20"/>
                <w:szCs w:val="20"/>
              </w:rPr>
              <w:t xml:space="preserve">Wash</w:t>
            </w:r>
          </w:p>
          <w:p>
            <w:pPr>
              <w:spacing w:after="0"/>
            </w:pPr>
            <w:r>
              <w:rPr>
                <w:color w:val="212529"/>
                <w:sz w:val="18"/>
                <w:szCs w:val="18"/>
              </w:rPr>
              <w:t xml:space="preserve">#ECECEC</w:t>
            </w:r>
          </w:p>
          <w:p>
            <w:pPr>
              <w:spacing w:after="0"/>
            </w:pPr>
            <w:r>
              <w:rPr>
                <w:color w:val="212529"/>
                <w:sz w:val="16"/>
                <w:szCs w:val="16"/>
              </w:rPr>
              <w:t xml:space="preserve"/>
            </w:r>
          </w:p>
        </w:tc>
        <w:tc>
          <w:tcPr>
            <w:tcW w:type="dxa" w:w="3120"/>
            <w:tcBorders>
              <w:top w:val="single" w:color="CCCCCC" w:sz="2"/>
              <w:left w:val="single" w:color="CCCCCC" w:sz="2"/>
              <w:bottom w:val="single" w:color="CCCCCC" w:sz="2"/>
              <w:right w:val="single" w:color="CCCCCC" w:sz="2"/>
            </w:tcBorders>
            <w:shd w:fill="FFFFFF" w:val="clear"/>
            <w:tcMar>
              <w:top w:type="dxa" w:w="140"/>
              <w:left w:type="dxa" w:w="140"/>
              <w:bottom w:type="dxa" w:w="140"/>
              <w:right w:type="dxa" w:w="140"/>
            </w:tcMar>
          </w:tcPr>
          <w:p>
            <w:pPr>
              <w:spacing w:after="20"/>
            </w:pPr>
            <w:r>
              <w:rPr>
                <w:b/>
                <w:bCs/>
                <w:color w:val="212529"/>
                <w:sz w:val="20"/>
                <w:szCs w:val="20"/>
              </w:rPr>
              <w:t xml:space="preserve">White</w:t>
            </w:r>
          </w:p>
          <w:p>
            <w:pPr>
              <w:spacing w:after="0"/>
            </w:pPr>
            <w:r>
              <w:rPr>
                <w:color w:val="212529"/>
                <w:sz w:val="18"/>
                <w:szCs w:val="18"/>
              </w:rPr>
              <w:t xml:space="preserve">#FFFFFF</w:t>
            </w:r>
          </w:p>
          <w:p>
            <w:pPr>
              <w:spacing w:after="0"/>
            </w:pPr>
            <w:r>
              <w:rPr>
                <w:color w:val="212529"/>
                <w:sz w:val="16"/>
                <w:szCs w:val="16"/>
              </w:rPr>
              <w:t xml:space="preserve"/>
            </w:r>
          </w:p>
        </w:tc>
      </w:tr>
    </w:tbl>
    <w:p>
      <w:pPr>
        <w:spacing w:after="80"/>
      </w:pPr>
      <w:r>
        <w:t xml:space="preserve"/>
      </w:r>
    </w:p>
    <w:p>
      <w:pPr>
        <w:pStyle w:val="Heading3"/>
      </w:pPr>
      <w:r>
        <w:t xml:space="preserve">Usage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Role</w:t>
            </w:r>
          </w:p>
        </w:tc>
        <w:tc>
          <w:tcPr>
            <w:tcW w:type="dxa" w:w="156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Colour</w:t>
            </w:r>
          </w:p>
        </w:tc>
        <w:tc>
          <w:tcPr>
            <w:tcW w:type="dxa" w:w="44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Headers, primary brand fields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Maroon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Dominant institutional colour.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Secondary emphasis, earth motifs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Rust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Pair with maroon; avoid using both at equal weight.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Highlights, calls to 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 sparingly for contrast.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Growth / agriculture themes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Green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Contextual, not a core brand colour.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Body 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Default reading colour.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Hyperlinks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Steel / Sky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Underline for accessibility.</w:t>
            </w:r>
          </w:p>
        </w:tc>
      </w:tr>
    </w:tbl>
    <w:p>
      <w:pPr>
        <w:pStyle w:val="Heading1"/>
      </w:pPr>
      <w:r>
        <w:t xml:space="preserve">Typography</w:t>
      </w:r>
    </w:p>
    <w:p>
      <w:pPr>
        <w:spacing w:after="160"/>
      </w:pPr>
      <w:r>
        <w:rPr>
          <w:i/>
          <w:iCs/>
          <w:color w:val="808080"/>
          <w:sz w:val="22"/>
          <w:szCs w:val="22"/>
        </w:rPr>
        <w:t xml:space="preserve">The site relies on Arial for interface and body text with Times New Roman for formal and titular use. A dedicated Devanagari face is recommended to give the Hindi identity equal footing.</w:t>
      </w:r>
    </w:p>
    <w:p>
      <w:pPr>
        <w:pStyle w:val="Heading3"/>
      </w:pPr>
      <w:r>
        <w:t xml:space="preserve">Primary — Arial / Helvetica</w:t>
      </w:r>
    </w:p>
    <w:p>
      <w:pPr>
        <w:spacing w:after="60"/>
      </w:pPr>
      <w:r>
        <w:rPr>
          <w:rFonts w:ascii="Arial" w:cs="Arial" w:eastAsia="Arial" w:hAnsi="Arial"/>
          <w:sz w:val="40"/>
          <w:szCs w:val="40"/>
        </w:rPr>
        <w:t xml:space="preserve">Aa Bb Cc</w:t>
      </w:r>
    </w:p>
    <w:p>
      <w:pPr>
        <w:spacing w:after="120"/>
      </w:pPr>
      <w:r>
        <w:rPr>
          <w:rFonts w:ascii="Arial" w:cs="Arial" w:eastAsia="Arial" w:hAnsi="Arial"/>
        </w:rPr>
        <w:t xml:space="preserve">The workhorse for body copy, navigation, tables and all interface text. Universally available; reliable across web and print.</w:t>
      </w:r>
    </w:p>
    <w:p>
      <w:pPr>
        <w:pStyle w:val="Heading3"/>
      </w:pPr>
      <w:r>
        <w:t xml:space="preserve">Formal — Times New Roman</w:t>
      </w:r>
    </w:p>
    <w:p>
      <w:pPr>
        <w:spacing w:after="60"/>
      </w:pPr>
      <w:r>
        <w:rPr>
          <w:rFonts w:ascii="Times New Roman" w:cs="Times New Roman" w:eastAsia="Times New Roman" w:hAnsi="Times New Roman"/>
          <w:sz w:val="40"/>
          <w:szCs w:val="40"/>
        </w:rPr>
        <w:t xml:space="preserve">Aa Bb Cc</w:t>
      </w:r>
    </w:p>
    <w:p>
      <w:pPr>
        <w:spacing w:after="120"/>
      </w:pPr>
      <w:r>
        <w:rPr>
          <w:rFonts w:ascii="Times New Roman" w:cs="Times New Roman" w:eastAsia="Times New Roman" w:hAnsi="Times New Roman"/>
        </w:rPr>
        <w:t xml:space="preserve">Reserved for headings, titles, certificates and ceremonial documents where an academic, authoritative tone is wanted.</w:t>
      </w:r>
    </w:p>
    <w:p>
      <w:pPr>
        <w:pStyle w:val="Heading3"/>
      </w:pPr>
      <w:r>
        <w:t xml:space="preserve">Devanagari (Hindi)</w:t>
      </w:r>
    </w:p>
    <w:p>
      <w:pPr>
        <w:spacing w:after="60"/>
      </w:pPr>
      <w:r>
        <w:rPr>
          <w:color w:val="79211C"/>
          <w:sz w:val="26"/>
          <w:szCs w:val="26"/>
        </w:rPr>
        <w:t xml:space="preserve">गोविन्द बल्लभ पंत कृषि एवं प्रौद्योगिक विश्वविद्यालय</w:t>
      </w:r>
    </w:p>
    <w:p>
      <w:pPr>
        <w:spacing w:after="120"/>
      </w:pPr>
      <w:r>
        <w:t xml:space="preserve">The site currently renders Hindi in system defaults. For consistency, standardise on Noto Sans Devanagari (screen and print) so the Hindi wordmark reads with the same clarity and weight as the English.</w:t>
      </w:r>
    </w:p>
    <w:p>
      <w:pPr>
        <w:pStyle w:val="Heading3"/>
      </w:pPr>
      <w:r>
        <w:t xml:space="preserve">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Level</w:t>
            </w:r>
          </w:p>
        </w:tc>
        <w:tc>
          <w:tcPr>
            <w:tcW w:type="dxa" w:w="32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Face</w:t>
            </w:r>
          </w:p>
        </w:tc>
        <w:tc>
          <w:tcPr>
            <w:tcW w:type="dxa" w:w="356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Suggested size / 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 title (H1)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 New Roman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32–36px, Bold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Section (H2)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 New Roman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24–28px, Bold, Maroon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Sub-heading (H3)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14–16px, Uppercase, tracked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15–16px, Regular, Ink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Caption / meta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12–13px, Mid Grey</w:t>
            </w:r>
          </w:p>
        </w:tc>
      </w:tr>
    </w:tbl>
    <w:p>
      <w:pPr>
        <w:pStyle w:val="Heading1"/>
      </w:pPr>
      <w:r>
        <w:t xml:space="preserve">Voice &amp; Tone</w:t>
      </w:r>
    </w:p>
    <w:p>
      <w:pPr>
        <w:spacing w:after="160"/>
      </w:pPr>
      <w:r>
        <w:rPr>
          <w:i/>
          <w:iCs/>
          <w:color w:val="808080"/>
          <w:sz w:val="22"/>
          <w:szCs w:val="22"/>
        </w:rPr>
        <w:t xml:space="preserve">Derived from the site's content — bilingual, institutional, and community-facing, spanning academics, research and farmer outreach.</w:t>
      </w:r>
    </w:p>
    <w:p>
      <w:pPr>
        <w:pStyle w:val="ListParagraph"/>
        <w:numPr>
          <w:ilvl w:val="0"/>
          <w:numId w:val="2"/>
        </w:numPr>
        <w:spacing w:after="60"/>
      </w:pPr>
      <w:r>
        <w:t xml:space="preserve">Bilingual by default — Hindi and English carry equal weight across notices, news and outreach.</w:t>
      </w:r>
    </w:p>
    <w:p>
      <w:pPr>
        <w:pStyle w:val="ListParagraph"/>
        <w:numPr>
          <w:ilvl w:val="0"/>
          <w:numId w:val="2"/>
        </w:numPr>
        <w:spacing w:after="60"/>
      </w:pPr>
      <w:r>
        <w:t xml:space="preserve">Formal and authoritative for administration, admissions and academic communication.</w:t>
      </w:r>
    </w:p>
    <w:p>
      <w:pPr>
        <w:pStyle w:val="ListParagraph"/>
        <w:numPr>
          <w:ilvl w:val="0"/>
          <w:numId w:val="2"/>
        </w:numPr>
        <w:spacing w:after="60"/>
      </w:pPr>
      <w:r>
        <w:t xml:space="preserve">Warm and accessible for extension work, farmer fairs (Kisan Mela) and student life.</w:t>
      </w:r>
    </w:p>
    <w:p>
      <w:pPr>
        <w:pStyle w:val="ListParagraph"/>
        <w:numPr>
          <w:ilvl w:val="0"/>
          <w:numId w:val="2"/>
        </w:numPr>
        <w:spacing w:after="60"/>
      </w:pPr>
      <w:r>
        <w:t xml:space="preserve">Achievement-oriented — research milestones, awards, rankings and patents are surfaced prominently.</w:t>
      </w:r>
    </w:p>
    <w:p>
      <w:pPr>
        <w:pStyle w:val="Heading1"/>
      </w:pPr>
      <w:r>
        <w:t xml:space="preserve">UI &amp; Application</w:t>
      </w:r>
    </w:p>
    <w:p>
      <w:pPr>
        <w:spacing w:after="160"/>
      </w:pPr>
      <w:r>
        <w:rPr>
          <w:i/>
          <w:iCs/>
          <w:color w:val="808080"/>
          <w:sz w:val="22"/>
          <w:szCs w:val="22"/>
        </w:rPr>
        <w:t xml:space="preserve">Interface patterns applying the rationalised palette and type to buttons, links and content surfaces.</w:t>
      </w:r>
    </w:p>
    <w:p>
      <w:pPr>
        <w:pStyle w:val="Heading3"/>
      </w:pPr>
      <w: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rPr>
          <w:tblHeader/>
        </w:trPr>
        <w:tc>
          <w:tcPr>
            <w:tcW w:type="dxa" w:w="18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Style</w:t>
            </w:r>
          </w:p>
        </w:tc>
        <w:tc>
          <w:tcPr>
            <w:tcW w:type="dxa" w:w="26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Fill</w:t>
            </w:r>
          </w:p>
        </w:tc>
        <w:tc>
          <w:tcPr>
            <w:tcW w:type="dxa" w:w="16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Text</w:t>
            </w:r>
          </w:p>
        </w:tc>
        <w:tc>
          <w:tcPr>
            <w:tcW w:type="dxa" w:w="336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18"/>
                <w:szCs w:val="18"/>
              </w:rPr>
              <w:t xml:space="preserve">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Maroon #79211C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 call to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Secondary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Teal #26CCCA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Supporting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Transparent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Maroon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Low-emphasis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A8" w:sz="4"/>
              <w:left w:val="single" w:color="F0E0A8" w:sz="4"/>
              <w:bottom w:val="single" w:color="F0E0A8" w:sz="4"/>
              <w:right w:val="single" w:color="F0E0A8" w:sz="4"/>
            </w:tcBorders>
            <w:shd w:fill="FFF8E6" w:val="clear"/>
            <w:tcMar>
              <w:top w:type="dxa" w:w="120"/>
              <w:left w:type="dxa" w:w="160"/>
              <w:bottom w:type="dxa" w:w="120"/>
              <w:right w:type="dxa" w:w="160"/>
            </w:tcMar>
          </w:tcPr>
          <w:p>
            <w:r>
              <w:rPr>
                <w:b/>
                <w:bCs/>
              </w:rPr>
              <w:t xml:space="preserve">Accessibility. </w:t>
            </w:r>
            <w:r>
              <w:t xml:space="preserve">Maroon on white and white on maroon both clear WCAG AA for body text. Avoid teal or line-grey text on white for anything smaller than large headings, as contrast falls short.</w:t>
            </w:r>
          </w:p>
        </w:tc>
      </w:tr>
    </w:tbl>
    <w:p>
      <w:pPr>
        <w:spacing w:after="80"/>
      </w:pPr>
      <w:r>
        <w:t xml:space="preserve"/>
      </w:r>
    </w:p>
    <w:p>
      <w:pPr>
        <w:pStyle w:val="Heading3"/>
      </w:pPr>
      <w:r>
        <w:t xml:space="preserve">Content surface</w:t>
      </w:r>
    </w:p>
    <w:p>
      <w:pPr>
        <w:spacing w:after="120"/>
      </w:pPr>
      <w:r>
        <w:t xml:space="preserve">A maroon serif heading over ink body on a light card, bordered in line-grey, with steel-blue links — the core reading pattern for notices, news and academic pages.</w:t>
      </w:r>
    </w:p>
    <w:p>
      <w:pPr>
        <w:pStyle w:val="Heading1"/>
      </w:pPr>
      <w:r>
        <w:t xml:space="preserve">Source Notes</w:t>
      </w:r>
    </w:p>
    <w:p>
      <w:pPr>
        <w:spacing w:after="160"/>
      </w:pPr>
      <w:r>
        <w:rPr>
          <w:i/>
          <w:iCs/>
          <w:color w:val="808080"/>
          <w:sz w:val="22"/>
          <w:szCs w:val="22"/>
        </w:rPr>
        <w:t xml:space="preserve">How this reference was derived and what was rationalised.</w:t>
      </w:r>
    </w:p>
    <w:p>
      <w:pPr>
        <w:pStyle w:val="ListParagraph"/>
        <w:numPr>
          <w:ilvl w:val="0"/>
          <w:numId w:val="2"/>
        </w:numPr>
        <w:spacing w:after="60"/>
      </w:pPr>
      <w:r>
        <w:t xml:space="preserve">Colour, type and logo sampled from the live site gbpuat.ac.in on 04 July 2026 using computed styles across the homepage.</w:t>
      </w:r>
    </w:p>
    <w:p>
      <w:pPr>
        <w:pStyle w:val="ListParagraph"/>
        <w:numPr>
          <w:ilvl w:val="0"/>
          <w:numId w:val="2"/>
        </w:numPr>
        <w:spacing w:after="60"/>
      </w:pPr>
      <w:r>
        <w:t xml:space="preserve">The most frequent deliberate brand colours were maroon (#79211C), rust (#962901), teal (#26CCCA) and green (#008000). These were kept.</w:t>
      </w:r>
    </w:p>
    <w:p>
      <w:pPr>
        <w:pStyle w:val="ListParagraph"/>
        <w:numPr>
          <w:ilvl w:val="0"/>
          <w:numId w:val="2"/>
        </w:numPr>
        <w:spacing w:after="60"/>
      </w:pPr>
      <w:r>
        <w:t xml:space="preserve">A prominent blue (#0D6EFD) was identified as a Bootstrap framework default rather than a brand choice and was excluded; the deliberate steel/sky blues were retained for links only.</w:t>
      </w:r>
    </w:p>
    <w:p>
      <w:pPr>
        <w:pStyle w:val="ListParagraph"/>
        <w:numPr>
          <w:ilvl w:val="0"/>
          <w:numId w:val="2"/>
        </w:numPr>
        <w:spacing w:after="60"/>
      </w:pPr>
      <w:r>
        <w:t xml:space="preserve">The site has no formal typographic scale; the hierarchy shown here is a recommendation consistent with observed usage (Arial body, Times titles).</w:t>
      </w:r>
    </w:p>
    <w:p>
      <w:pPr>
        <w:pStyle w:val="ListParagraph"/>
        <w:numPr>
          <w:ilvl w:val="0"/>
          <w:numId w:val="2"/>
        </w:numPr>
        <w:spacing w:after="60"/>
      </w:pPr>
      <w:r>
        <w:t xml:space="preserve">The crest is the university's official mark from gbpuat.ac.in/img/Logo1.png, downscaled and embedded. For high-resolution print, obtain a vector master (SVG/EPS) from the university.</w:t>
      </w:r>
    </w:p>
    <w:p>
      <w:pPr>
        <w:pStyle w:val="ListParagraph"/>
        <w:numPr>
          <w:ilvl w:val="0"/>
          <w:numId w:val="2"/>
        </w:numPr>
        <w:spacing w:after="60"/>
      </w:pPr>
      <w:r>
        <w:t xml:space="preserve">This is an unofficial extraction for reference and consistency, not an authorised brand manual.</w:t>
      </w:r>
    </w:p>
    <w:p>
      <w:pPr>
        <w:spacing w:after="80"/>
      </w:pPr>
      <w:r>
        <w:t xml:space="preserve"/>
      </w:r>
    </w:p>
    <w:p>
      <w:pPr>
        <w:pBdr>
          <w:top w:val="single" w:color="CCCCCC" w:sz="4" w:space="6"/>
        </w:pBdr>
        <w:spacing w:before="120"/>
      </w:pPr>
      <w:r>
        <w:rPr>
          <w:color w:val="808080"/>
          <w:sz w:val="16"/>
          <w:szCs w:val="16"/>
        </w:rPr>
        <w:t xml:space="preserve">Govind Ballabh Pant University of Agriculture &amp; Technology, Pantnagar, Udham Singh Nagar, Uttarakhand 263145.  Unofficial brand guideline extracted from gbpuat.ac.in · 04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ECEC" w:sz="4" w:space="4"/>
      </w:pBdr>
      <w:spacing w:after="140" w:before="320"/>
      <w:outlineLvl w:val="0"/>
    </w:pPr>
    <w:rPr>
      <w:rFonts w:ascii="Times New Roman" w:cs="Times New Roman" w:eastAsia="Times New Roman" w:hAnsi="Times New Roman"/>
      <w:b/>
      <w:bCs/>
      <w:color w:val="79211C"/>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79211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pacing w:val="2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da63389152253392d6381984a71c0282676f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2026-07-04T09:54:44.951Z</dcterms:created>
  <dcterms:modified xsi:type="dcterms:W3CDTF">2026-07-04T09:54:44.951Z</dcterms:modified>
</cp:coreProperties>
</file>

<file path=docProps/custom.xml><?xml version="1.0" encoding="utf-8"?>
<Properties xmlns="http://schemas.openxmlformats.org/officeDocument/2006/custom-properties" xmlns:vt="http://schemas.openxmlformats.org/officeDocument/2006/docPropsVTypes"/>
</file>