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Look w:val="04A0" w:firstRow="1" w:lastRow="0" w:firstColumn="1" w:lastColumn="0" w:noHBand="0" w:noVBand="1"/>
      </w:tblPr>
      <w:tblGrid>
        <w:gridCol w:w="1378"/>
        <w:gridCol w:w="3125"/>
        <w:gridCol w:w="1925"/>
        <w:gridCol w:w="2058"/>
        <w:gridCol w:w="852"/>
      </w:tblGrid>
      <w:tr w:rsidR="00903220" w:rsidRPr="00903220" w14:paraId="4CB77274" w14:textId="77777777" w:rsidTr="00BD0072">
        <w:tc>
          <w:tcPr>
            <w:tcW w:w="1378" w:type="dxa"/>
          </w:tcPr>
          <w:p w14:paraId="412C0466" w14:textId="77777777" w:rsidR="00903220" w:rsidRPr="00903220" w:rsidRDefault="00903220">
            <w:pPr>
              <w:rPr>
                <w:rFonts w:ascii="Verdana" w:hAnsi="Verdana"/>
              </w:rPr>
            </w:pPr>
            <w:r w:rsidRPr="00903220">
              <w:rPr>
                <w:rFonts w:ascii="Verdana" w:hAnsi="Verdana"/>
                <w:noProof/>
                <w:lang w:eastAsia="de-DE"/>
              </w:rPr>
              <w:drawing>
                <wp:inline distT="0" distB="0" distL="0" distR="0" wp14:anchorId="43BC5F86" wp14:editId="2CA972F2">
                  <wp:extent cx="738215" cy="32228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802733" cy="350456"/>
                          </a:xfrm>
                          <a:prstGeom prst="rect">
                            <a:avLst/>
                          </a:prstGeom>
                        </pic:spPr>
                      </pic:pic>
                    </a:graphicData>
                  </a:graphic>
                </wp:inline>
              </w:drawing>
            </w:r>
          </w:p>
        </w:tc>
        <w:tc>
          <w:tcPr>
            <w:tcW w:w="3206" w:type="dxa"/>
          </w:tcPr>
          <w:p w14:paraId="50B1A68E" w14:textId="77777777" w:rsidR="00903220" w:rsidRPr="00903220" w:rsidRDefault="00903220">
            <w:pPr>
              <w:rPr>
                <w:rFonts w:ascii="Verdana" w:hAnsi="Verdana"/>
                <w:sz w:val="20"/>
              </w:rPr>
            </w:pPr>
            <w:r w:rsidRPr="00903220">
              <w:rPr>
                <w:rFonts w:ascii="Verdana" w:hAnsi="Verdana"/>
                <w:sz w:val="20"/>
              </w:rPr>
              <w:t>Name:</w:t>
            </w:r>
          </w:p>
        </w:tc>
        <w:tc>
          <w:tcPr>
            <w:tcW w:w="1961" w:type="dxa"/>
          </w:tcPr>
          <w:p w14:paraId="4A4F65D5" w14:textId="77777777" w:rsidR="00903220" w:rsidRPr="00903220" w:rsidRDefault="00903220">
            <w:pPr>
              <w:rPr>
                <w:rFonts w:ascii="Verdana" w:hAnsi="Verdana"/>
                <w:sz w:val="20"/>
              </w:rPr>
            </w:pPr>
            <w:r w:rsidRPr="00903220">
              <w:rPr>
                <w:rFonts w:ascii="Verdana" w:hAnsi="Verdana"/>
                <w:sz w:val="20"/>
              </w:rPr>
              <w:t>Klasse:</w:t>
            </w:r>
          </w:p>
        </w:tc>
        <w:tc>
          <w:tcPr>
            <w:tcW w:w="2097" w:type="dxa"/>
          </w:tcPr>
          <w:p w14:paraId="63028AD2" w14:textId="77777777" w:rsidR="00903220" w:rsidRPr="00903220" w:rsidRDefault="00903220">
            <w:pPr>
              <w:rPr>
                <w:rFonts w:ascii="Verdana" w:hAnsi="Verdana"/>
                <w:sz w:val="20"/>
              </w:rPr>
            </w:pPr>
            <w:r w:rsidRPr="00903220">
              <w:rPr>
                <w:rFonts w:ascii="Verdana" w:hAnsi="Verdana"/>
                <w:sz w:val="20"/>
              </w:rPr>
              <w:t>Datum:</w:t>
            </w:r>
          </w:p>
        </w:tc>
        <w:tc>
          <w:tcPr>
            <w:tcW w:w="696" w:type="dxa"/>
          </w:tcPr>
          <w:p w14:paraId="73949073" w14:textId="77777777" w:rsidR="00903220" w:rsidRDefault="00903220">
            <w:pPr>
              <w:rPr>
                <w:rFonts w:ascii="Verdana" w:hAnsi="Verdana"/>
              </w:rPr>
            </w:pPr>
            <w:r w:rsidRPr="00903220">
              <w:rPr>
                <w:rFonts w:ascii="Verdana" w:hAnsi="Verdana"/>
              </w:rPr>
              <w:t>SK</w:t>
            </w:r>
            <w:r w:rsidR="00BD0072">
              <w:rPr>
                <w:rFonts w:ascii="Verdana" w:hAnsi="Verdana"/>
              </w:rPr>
              <w:t>11</w:t>
            </w:r>
          </w:p>
          <w:p w14:paraId="257676C7" w14:textId="77777777" w:rsidR="00113717" w:rsidRPr="00903220" w:rsidRDefault="00113717">
            <w:pPr>
              <w:rPr>
                <w:rFonts w:ascii="Verdana" w:hAnsi="Verdana"/>
              </w:rPr>
            </w:pPr>
            <w:r w:rsidRPr="00113717">
              <w:rPr>
                <w:rFonts w:ascii="Verdana" w:hAnsi="Verdana"/>
                <w:sz w:val="16"/>
              </w:rPr>
              <w:t>Max</w:t>
            </w:r>
          </w:p>
        </w:tc>
      </w:tr>
    </w:tbl>
    <w:p w14:paraId="34AEB4E4" w14:textId="77777777" w:rsidR="00540304" w:rsidRDefault="00540304" w:rsidP="00BD0072">
      <w:pPr>
        <w:rPr>
          <w:rFonts w:ascii="Verdana" w:eastAsia="Times New Roman" w:hAnsi="Verdana" w:cs="Times New Roman"/>
          <w:sz w:val="21"/>
          <w:lang w:eastAsia="de-DE"/>
        </w:rPr>
      </w:pPr>
    </w:p>
    <w:p w14:paraId="2D5E661F" w14:textId="77777777" w:rsidR="00546F03" w:rsidRPr="00546F03" w:rsidRDefault="00546F03" w:rsidP="00BD0072">
      <w:pPr>
        <w:rPr>
          <w:rFonts w:ascii="Verdana" w:eastAsia="Times New Roman" w:hAnsi="Verdana" w:cs="Times New Roman"/>
          <w:b/>
          <w:sz w:val="28"/>
          <w:lang w:eastAsia="de-DE"/>
        </w:rPr>
      </w:pPr>
      <w:r w:rsidRPr="00546F03">
        <w:rPr>
          <w:rFonts w:ascii="Verdana" w:eastAsia="Times New Roman" w:hAnsi="Verdana" w:cs="Times New Roman"/>
          <w:b/>
          <w:sz w:val="28"/>
          <w:lang w:eastAsia="de-DE"/>
        </w:rPr>
        <w:t>Das Menschenbild des Grundgesetzes und die Grundrechte</w:t>
      </w:r>
    </w:p>
    <w:p w14:paraId="19807E31" w14:textId="77777777" w:rsidR="00546F03" w:rsidRPr="00947A5D" w:rsidRDefault="00546F03" w:rsidP="00BD0072">
      <w:pPr>
        <w:rPr>
          <w:rFonts w:ascii="Verdana" w:eastAsia="Times New Roman" w:hAnsi="Verdana" w:cs="Times New Roman"/>
          <w:sz w:val="21"/>
          <w:lang w:eastAsia="de-DE"/>
        </w:rPr>
      </w:pPr>
    </w:p>
    <w:p w14:paraId="7175E9DA" w14:textId="77777777" w:rsidR="00947A5D" w:rsidRDefault="001B300F" w:rsidP="00947A5D">
      <w:pPr>
        <w:ind w:left="11" w:hanging="10"/>
        <w:rPr>
          <w:rFonts w:ascii="Verdana" w:hAnsi="Verdana"/>
          <w:b/>
          <w:sz w:val="21"/>
        </w:rPr>
      </w:pPr>
      <w:r w:rsidRPr="00947A5D">
        <w:rPr>
          <w:rFonts w:ascii="Verdana" w:hAnsi="Verdana"/>
          <w:b/>
          <w:sz w:val="21"/>
        </w:rPr>
        <w:t>Wertgebundenheit der staatliche</w:t>
      </w:r>
      <w:r w:rsidR="00947A5D" w:rsidRPr="00947A5D">
        <w:rPr>
          <w:rFonts w:ascii="Verdana" w:hAnsi="Verdana"/>
          <w:b/>
          <w:sz w:val="21"/>
        </w:rPr>
        <w:t xml:space="preserve">n </w:t>
      </w:r>
      <w:r w:rsidRPr="00947A5D">
        <w:rPr>
          <w:rFonts w:ascii="Verdana" w:hAnsi="Verdana"/>
          <w:b/>
          <w:sz w:val="21"/>
        </w:rPr>
        <w:t>Ordnun</w:t>
      </w:r>
      <w:r w:rsidR="00947A5D">
        <w:rPr>
          <w:rFonts w:ascii="Verdana" w:hAnsi="Verdana"/>
          <w:b/>
          <w:sz w:val="21"/>
        </w:rPr>
        <w:t>g</w:t>
      </w:r>
    </w:p>
    <w:p w14:paraId="5399380C" w14:textId="5852C494" w:rsidR="00F70AA3" w:rsidRPr="00F70AA3" w:rsidRDefault="001B300F" w:rsidP="00F70AA3">
      <w:pPr>
        <w:jc w:val="both"/>
        <w:rPr>
          <w:rFonts w:ascii="Times New Roman" w:eastAsia="Times New Roman" w:hAnsi="Times New Roman" w:cs="Times New Roman"/>
          <w:lang w:eastAsia="de-DE"/>
        </w:rPr>
      </w:pPr>
      <w:r w:rsidRPr="00041E7B">
        <w:rPr>
          <w:rFonts w:ascii="Verdana" w:hAnsi="Verdana"/>
          <w:sz w:val="20"/>
        </w:rPr>
        <w:t xml:space="preserve">Nach dem Zweiten Weltkrieg wurde für die westlichen Besatzungszonen ein </w:t>
      </w:r>
      <w:r w:rsidRPr="00AF2669">
        <w:rPr>
          <w:rFonts w:ascii="Verdana" w:hAnsi="Verdana"/>
          <w:i/>
          <w:sz w:val="20"/>
        </w:rPr>
        <w:t>Parlamentarischer Rat</w:t>
      </w:r>
      <w:r w:rsidR="00AF2669" w:rsidRPr="00AF2669">
        <w:rPr>
          <w:rStyle w:val="Funotenzeichen"/>
          <w:rFonts w:ascii="Verdana" w:hAnsi="Verdana"/>
          <w:sz w:val="20"/>
        </w:rPr>
        <w:footnoteReference w:id="1"/>
      </w:r>
      <w:r w:rsidRPr="00041E7B">
        <w:rPr>
          <w:rFonts w:ascii="Verdana" w:hAnsi="Verdana"/>
          <w:sz w:val="20"/>
        </w:rPr>
        <w:t xml:space="preserve"> eingesetzt, um eine Verfassung für den neu zu gründenden Staat auszuarbeiten. Die Mitglieder des Parlamentarischen Rates zogen dabei die Konsequenzen aus den Erfahrungen mit der nationalsozialistischen Diktatur.</w:t>
      </w:r>
      <w:r w:rsidR="00F70AA3" w:rsidRPr="00F70AA3">
        <w:t xml:space="preserve"> </w:t>
      </w:r>
      <w:r w:rsidR="00F70AA3" w:rsidRPr="00F70AA3">
        <w:rPr>
          <w:rFonts w:ascii="Times New Roman" w:eastAsia="Times New Roman" w:hAnsi="Times New Roman" w:cs="Times New Roman"/>
          <w:lang w:eastAsia="de-DE"/>
        </w:rPr>
        <w:fldChar w:fldCharType="begin"/>
      </w:r>
      <w:r w:rsidR="003A1BC3">
        <w:rPr>
          <w:rFonts w:ascii="Times New Roman" w:eastAsia="Times New Roman" w:hAnsi="Times New Roman" w:cs="Times New Roman"/>
          <w:lang w:eastAsia="de-DE"/>
        </w:rPr>
        <w:instrText xml:space="preserve"> INCLUDEPICTURE "C:\\var\\folders\\xk\\n1gfh9g93kn8b9wntkrhk1ww0000gn\\T\\com.microsoft.Word\\WebArchiveCopyPasteTempFiles\\236768-3x2-original.jpg?9D9AB" \* MERGEFORMAT </w:instrText>
      </w:r>
      <w:r w:rsidR="00F70AA3" w:rsidRPr="00F70AA3">
        <w:rPr>
          <w:rFonts w:ascii="Times New Roman" w:eastAsia="Times New Roman" w:hAnsi="Times New Roman" w:cs="Times New Roman"/>
          <w:lang w:eastAsia="de-DE"/>
        </w:rPr>
        <w:fldChar w:fldCharType="end"/>
      </w:r>
    </w:p>
    <w:p w14:paraId="3807F4E8" w14:textId="77777777" w:rsidR="001B300F" w:rsidRPr="00041E7B" w:rsidRDefault="001B300F" w:rsidP="00041E7B">
      <w:pPr>
        <w:pStyle w:val="KeinLeerraum"/>
        <w:jc w:val="both"/>
        <w:rPr>
          <w:rFonts w:ascii="Verdana" w:hAnsi="Verdana"/>
          <w:b/>
          <w:sz w:val="2"/>
        </w:rPr>
      </w:pPr>
    </w:p>
    <w:p w14:paraId="244B4C3D" w14:textId="77777777" w:rsidR="00546F03" w:rsidRPr="00041E7B" w:rsidRDefault="001B300F" w:rsidP="00041E7B">
      <w:pPr>
        <w:pStyle w:val="KeinLeerraum"/>
        <w:jc w:val="both"/>
        <w:rPr>
          <w:rFonts w:ascii="Verdana" w:eastAsia="Times New Roman" w:hAnsi="Verdana" w:cs="Times New Roman"/>
          <w:sz w:val="2"/>
          <w:lang w:eastAsia="de-DE"/>
        </w:rPr>
      </w:pPr>
      <w:r w:rsidRPr="00041E7B">
        <w:rPr>
          <w:rFonts w:ascii="Verdana" w:hAnsi="Verdana"/>
          <w:sz w:val="20"/>
        </w:rPr>
        <w:t>Vorrang hatte dabei der Schutz der Würde jedes einzelnen Menschen als oberste Verpflichtung jeder gesellschaftlichen Ordnung. Dieser Verpflichtung auf die Menschenwürde als oberstem Prinzip folgen dann in den Artikeln 2</w:t>
      </w:r>
      <w:r w:rsidR="00947A5D" w:rsidRPr="00041E7B">
        <w:rPr>
          <w:rFonts w:ascii="Verdana" w:hAnsi="Verdana"/>
          <w:sz w:val="20"/>
        </w:rPr>
        <w:t>-</w:t>
      </w:r>
      <w:r w:rsidRPr="00041E7B">
        <w:rPr>
          <w:rFonts w:ascii="Verdana" w:hAnsi="Verdana"/>
          <w:sz w:val="20"/>
        </w:rPr>
        <w:t>19 die einzelnen Grundrechte, der Grundrechtekatalog. Daraus ergibt sich eine Reihe von Grundsätzen für das staatliche Handeln, die für alle staatlichen Organe verbindlich sind. Folter z. B. ist selbstverständlich als Missachtung der menschlichen Würde verboten. Aber auch eine soziale Verpflichtung lässt sich aus der Werteordnung ableiten. Der Staat kann Menschen nicht unversorgt lassen, die selbst dazu nicht mehr in der Lage sind. Er muss in solchen Fällen eine Unterstützung gewährleisten, die ein menschenwürdiges Leben garantiert. Insofern ist das Prinzip der sozialen Grundsicherung aus dem Kern unserer Verfassung abzuleiten.</w:t>
      </w:r>
    </w:p>
    <w:p w14:paraId="77B87F79" w14:textId="77777777" w:rsidR="00041E7B" w:rsidRPr="00041E7B" w:rsidRDefault="00F70AA3" w:rsidP="00041E7B">
      <w:pPr>
        <w:pStyle w:val="KeinLeerraum"/>
        <w:jc w:val="both"/>
        <w:rPr>
          <w:rFonts w:ascii="Verdana" w:hAnsi="Verdana"/>
          <w:sz w:val="20"/>
          <w:szCs w:val="21"/>
        </w:rPr>
      </w:pPr>
      <w:r w:rsidRPr="00F70AA3">
        <w:rPr>
          <w:rFonts w:ascii="Times New Roman" w:eastAsia="Times New Roman" w:hAnsi="Times New Roman" w:cs="Times New Roman"/>
          <w:noProof/>
          <w:lang w:eastAsia="de-DE" w:bidi="ar-SA"/>
        </w:rPr>
        <w:drawing>
          <wp:anchor distT="0" distB="0" distL="114300" distR="114300" simplePos="0" relativeHeight="251661312" behindDoc="1" locked="0" layoutInCell="1" allowOverlap="1" wp14:anchorId="7BAB6A87" wp14:editId="7A22BB38">
            <wp:simplePos x="0" y="0"/>
            <wp:positionH relativeFrom="column">
              <wp:posOffset>22437</wp:posOffset>
            </wp:positionH>
            <wp:positionV relativeFrom="paragraph">
              <wp:posOffset>60960</wp:posOffset>
            </wp:positionV>
            <wp:extent cx="2590800" cy="1727200"/>
            <wp:effectExtent l="0" t="0" r="0" b="0"/>
            <wp:wrapTight wrapText="bothSides">
              <wp:wrapPolygon edited="0">
                <wp:start x="0" y="0"/>
                <wp:lineTo x="0" y="21441"/>
                <wp:lineTo x="21494" y="21441"/>
                <wp:lineTo x="21494" y="0"/>
                <wp:lineTo x="0" y="0"/>
              </wp:wrapPolygon>
            </wp:wrapTight>
            <wp:docPr id="10" name="Grafik 10" descr="/var/folders/xk/n1gfh9g93kn8b9wntkrhk1ww0000gn/T/com.microsoft.Word/WebArchiveCopyPasteTempFiles/236768-3x2-original.jpg?9D9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xk/n1gfh9g93kn8b9wntkrhk1ww0000gn/T/com.microsoft.Word/WebArchiveCopyPasteTempFiles/236768-3x2-original.jpg?9D9A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0800" cy="172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1E7B" w:rsidRPr="00041E7B">
        <w:rPr>
          <w:rFonts w:ascii="Verdana" w:hAnsi="Verdana"/>
          <w:sz w:val="20"/>
          <w:szCs w:val="21"/>
        </w:rPr>
        <w:t>Dass die Grundrechte Bestandteil von Verfassungen eines Landes sind, ist nicht selbst</w:t>
      </w:r>
      <w:r>
        <w:rPr>
          <w:rFonts w:ascii="Verdana" w:hAnsi="Verdana"/>
          <w:sz w:val="20"/>
          <w:szCs w:val="21"/>
        </w:rPr>
        <w:t>-</w:t>
      </w:r>
      <w:r w:rsidR="00041E7B" w:rsidRPr="00041E7B">
        <w:rPr>
          <w:rFonts w:ascii="Verdana" w:hAnsi="Verdana"/>
          <w:sz w:val="20"/>
          <w:szCs w:val="21"/>
        </w:rPr>
        <w:t xml:space="preserve"> verständlich. Auch viele Demokratien haben in ihren Verfassungen kein ausdrückliches Bekenntnis zu den Grund- und Menschenrechten.</w:t>
      </w:r>
    </w:p>
    <w:p w14:paraId="7BFF3173" w14:textId="77777777" w:rsidR="00546F03" w:rsidRPr="00041E7B" w:rsidRDefault="00183CDA" w:rsidP="00041E7B">
      <w:pPr>
        <w:pStyle w:val="KeinLeerraum"/>
        <w:jc w:val="both"/>
        <w:rPr>
          <w:rFonts w:ascii="Verdana" w:eastAsia="Times New Roman" w:hAnsi="Verdana" w:cs="Times New Roman"/>
          <w:sz w:val="20"/>
          <w:szCs w:val="21"/>
          <w:lang w:eastAsia="de-DE"/>
        </w:rPr>
      </w:pPr>
      <w:r>
        <w:rPr>
          <w:rFonts w:ascii="Verdana" w:hAnsi="Verdana"/>
          <w:noProof/>
          <w:sz w:val="20"/>
          <w:szCs w:val="21"/>
          <w:lang w:eastAsia="de-DE" w:bidi="ar-SA"/>
        </w:rPr>
        <mc:AlternateContent>
          <mc:Choice Requires="wps">
            <w:drawing>
              <wp:anchor distT="0" distB="0" distL="114300" distR="114300" simplePos="0" relativeHeight="251662336" behindDoc="0" locked="0" layoutInCell="1" allowOverlap="1" wp14:anchorId="21754F0D" wp14:editId="2C667B5E">
                <wp:simplePos x="0" y="0"/>
                <wp:positionH relativeFrom="column">
                  <wp:posOffset>-79163</wp:posOffset>
                </wp:positionH>
                <wp:positionV relativeFrom="paragraph">
                  <wp:posOffset>821690</wp:posOffset>
                </wp:positionV>
                <wp:extent cx="2006600" cy="304800"/>
                <wp:effectExtent l="0" t="0" r="0" b="0"/>
                <wp:wrapNone/>
                <wp:docPr id="11" name="Textfeld 11"/>
                <wp:cNvGraphicFramePr/>
                <a:graphic xmlns:a="http://schemas.openxmlformats.org/drawingml/2006/main">
                  <a:graphicData uri="http://schemas.microsoft.com/office/word/2010/wordprocessingShape">
                    <wps:wsp>
                      <wps:cNvSpPr txBox="1"/>
                      <wps:spPr>
                        <a:xfrm>
                          <a:off x="0" y="0"/>
                          <a:ext cx="2006600" cy="304800"/>
                        </a:xfrm>
                        <a:prstGeom prst="rect">
                          <a:avLst/>
                        </a:prstGeom>
                        <a:solidFill>
                          <a:schemeClr val="lt1"/>
                        </a:solidFill>
                        <a:ln w="6350">
                          <a:noFill/>
                        </a:ln>
                      </wps:spPr>
                      <wps:txbx>
                        <w:txbxContent>
                          <w:p w14:paraId="0D500EB2" w14:textId="77777777" w:rsidR="00183CDA" w:rsidRPr="00183CDA" w:rsidRDefault="00183CDA">
                            <w:pPr>
                              <w:rPr>
                                <w:rFonts w:ascii="Verdana" w:hAnsi="Verdana"/>
                                <w:sz w:val="12"/>
                                <w:szCs w:val="12"/>
                              </w:rPr>
                            </w:pPr>
                            <w:r w:rsidRPr="00183CDA">
                              <w:rPr>
                                <w:rFonts w:ascii="Verdana" w:hAnsi="Verdana"/>
                                <w:sz w:val="12"/>
                                <w:szCs w:val="12"/>
                              </w:rPr>
                              <w:t>http://www.bpb.de/cache/images/8/236768-3x2-original.jpg?9D9AB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54F0D" id="_x0000_t202" coordsize="21600,21600" o:spt="202" path="m,l,21600r21600,l21600,xe">
                <v:stroke joinstyle="miter"/>
                <v:path gradientshapeok="t" o:connecttype="rect"/>
              </v:shapetype>
              <v:shape id="Textfeld 11" o:spid="_x0000_s1026" type="#_x0000_t202" style="position:absolute;left:0;text-align:left;margin-left:-6.25pt;margin-top:64.7pt;width:158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" fillcolor="white [3201]" stroked="f" strokeweight=".5pt">
                <v:textbox>
                  <w:txbxContent>
                    <w:p w14:paraId="0D500EB2" w14:textId="77777777" w:rsidR="00183CDA" w:rsidRPr="00183CDA" w:rsidRDefault="00183CDA">
                      <w:pPr>
                        <w:rPr>
                          <w:rFonts w:ascii="Verdana" w:hAnsi="Verdana"/>
                          <w:sz w:val="12"/>
                          <w:szCs w:val="12"/>
                        </w:rPr>
                      </w:pPr>
                      <w:r w:rsidRPr="00183CDA">
                        <w:rPr>
                          <w:rFonts w:ascii="Verdana" w:hAnsi="Verdana"/>
                          <w:sz w:val="12"/>
                          <w:szCs w:val="12"/>
                        </w:rPr>
                        <w:t>http://www.bpb.de/cache/images/8/236768-3x2-original.jpg?9D9AB</w:t>
                      </w:r>
                    </w:p>
                  </w:txbxContent>
                </v:textbox>
              </v:shape>
            </w:pict>
          </mc:Fallback>
        </mc:AlternateContent>
      </w:r>
      <w:r w:rsidR="00041E7B" w:rsidRPr="00041E7B">
        <w:rPr>
          <w:rFonts w:ascii="Verdana" w:hAnsi="Verdana"/>
          <w:sz w:val="20"/>
          <w:szCs w:val="21"/>
        </w:rPr>
        <w:t>Für die Europäische Union sind die Grundrechte in der Charta der Grundrechte der Europäischen Union niedergelegt. Sie orientiert sich an der Europäischen Menschenrechtskonvention. Im Lissaboner Vertrag wird sie für alle Staaten, ausgenommen das Vereinigte Königreich und Polen, als gültig erklärt.</w:t>
      </w:r>
    </w:p>
    <w:p w14:paraId="08190995" w14:textId="77777777" w:rsidR="00041E7B" w:rsidRDefault="00041E7B" w:rsidP="00BD0072">
      <w:pPr>
        <w:rPr>
          <w:rFonts w:ascii="Verdana" w:eastAsia="Times New Roman" w:hAnsi="Verdana" w:cs="Times New Roman"/>
          <w:sz w:val="20"/>
          <w:lang w:eastAsia="de-DE"/>
        </w:rPr>
      </w:pPr>
    </w:p>
    <w:p w14:paraId="439155E5" w14:textId="77777777" w:rsidR="00041E7B" w:rsidRPr="00041E7B" w:rsidRDefault="00041E7B" w:rsidP="00041E7B">
      <w:pPr>
        <w:pStyle w:val="KeinLeerraum"/>
        <w:rPr>
          <w:rFonts w:ascii="Verdana" w:hAnsi="Verdana"/>
          <w:b/>
          <w:sz w:val="20"/>
          <w:szCs w:val="20"/>
        </w:rPr>
      </w:pPr>
      <w:r w:rsidRPr="00041E7B">
        <w:rPr>
          <w:rFonts w:ascii="Verdana" w:hAnsi="Verdana"/>
          <w:b/>
          <w:sz w:val="21"/>
          <w:szCs w:val="20"/>
        </w:rPr>
        <w:t>Menschenbild des Grundgesetzes: Individuum und Gemeinschaft</w:t>
      </w:r>
    </w:p>
    <w:p w14:paraId="399917F2" w14:textId="77777777" w:rsidR="00041E7B" w:rsidRPr="00041E7B" w:rsidRDefault="00041E7B" w:rsidP="00041E7B">
      <w:pPr>
        <w:pStyle w:val="KeinLeerraum"/>
        <w:jc w:val="both"/>
        <w:rPr>
          <w:rFonts w:ascii="Verdana" w:hAnsi="Verdana"/>
          <w:sz w:val="20"/>
          <w:szCs w:val="20"/>
        </w:rPr>
      </w:pPr>
      <w:r w:rsidRPr="00041E7B">
        <w:rPr>
          <w:rFonts w:ascii="Verdana" w:hAnsi="Verdana"/>
          <w:sz w:val="20"/>
          <w:szCs w:val="20"/>
        </w:rPr>
        <w:t xml:space="preserve">Bisher war immer von den Rechten des Einzelnen und den Verpflichtungen des Staates ihm gegenüber die Rede. Doch das Grundgesetz versteht den einzelnen Menschen nicht als isoliertes Individuum. Bereits im Artikel 1 werden die Menschenrechte </w:t>
      </w:r>
      <w:r>
        <w:rPr>
          <w:rFonts w:ascii="Verdana" w:hAnsi="Verdana"/>
          <w:sz w:val="20"/>
          <w:szCs w:val="20"/>
        </w:rPr>
        <w:t>„</w:t>
      </w:r>
      <w:r w:rsidRPr="00041E7B">
        <w:rPr>
          <w:rFonts w:ascii="Verdana" w:hAnsi="Verdana"/>
          <w:sz w:val="20"/>
          <w:szCs w:val="20"/>
        </w:rPr>
        <w:t>als Grundlage jeder menschlichen Gemeinschaft, des Friedens und der Gerechtigkeit in der Welt</w:t>
      </w:r>
      <w:r>
        <w:rPr>
          <w:rFonts w:ascii="Verdana" w:hAnsi="Verdana"/>
          <w:sz w:val="20"/>
          <w:szCs w:val="20"/>
        </w:rPr>
        <w:t>“</w:t>
      </w:r>
      <w:r w:rsidRPr="00041E7B">
        <w:rPr>
          <w:rFonts w:ascii="Verdana" w:hAnsi="Verdana"/>
          <w:sz w:val="20"/>
          <w:szCs w:val="20"/>
        </w:rPr>
        <w:t xml:space="preserve"> bezeichnet. Das Bundesverfassungsgericht hat sich in einem Urteil damit wie folgt auseinandergesetzt:</w:t>
      </w:r>
    </w:p>
    <w:p w14:paraId="41386C04" w14:textId="77777777" w:rsidR="00041E7B" w:rsidRPr="00041E7B" w:rsidRDefault="00BA5775" w:rsidP="00041E7B">
      <w:pPr>
        <w:pStyle w:val="KeinLeerraum"/>
        <w:jc w:val="both"/>
        <w:rPr>
          <w:rFonts w:ascii="Verdana" w:hAnsi="Verdana"/>
          <w:sz w:val="20"/>
          <w:szCs w:val="20"/>
        </w:rPr>
      </w:pPr>
      <w:r>
        <w:rPr>
          <w:rFonts w:ascii="Verdana" w:hAnsi="Verdana"/>
          <w:noProof/>
          <w:sz w:val="20"/>
          <w:szCs w:val="20"/>
          <w:lang w:eastAsia="de-DE" w:bidi="ar-SA"/>
        </w:rPr>
        <mc:AlternateContent>
          <mc:Choice Requires="wps">
            <w:drawing>
              <wp:anchor distT="0" distB="0" distL="114300" distR="114300" simplePos="0" relativeHeight="251660288" behindDoc="0" locked="0" layoutInCell="1" allowOverlap="1" wp14:anchorId="72979039" wp14:editId="3B84DB0F">
                <wp:simplePos x="0" y="0"/>
                <wp:positionH relativeFrom="column">
                  <wp:posOffset>1961092</wp:posOffset>
                </wp:positionH>
                <wp:positionV relativeFrom="paragraph">
                  <wp:posOffset>358563</wp:posOffset>
                </wp:positionV>
                <wp:extent cx="3987800" cy="2048933"/>
                <wp:effectExtent l="0" t="0" r="12700" b="8890"/>
                <wp:wrapSquare wrapText="bothSides"/>
                <wp:docPr id="4" name="Textfeld 4"/>
                <wp:cNvGraphicFramePr/>
                <a:graphic xmlns:a="http://schemas.openxmlformats.org/drawingml/2006/main">
                  <a:graphicData uri="http://schemas.microsoft.com/office/word/2010/wordprocessingShape">
                    <wps:wsp>
                      <wps:cNvSpPr txBox="1"/>
                      <wps:spPr>
                        <a:xfrm>
                          <a:off x="0" y="0"/>
                          <a:ext cx="3987800" cy="2048933"/>
                        </a:xfrm>
                        <a:prstGeom prst="rect">
                          <a:avLst/>
                        </a:prstGeom>
                        <a:solidFill>
                          <a:schemeClr val="bg2"/>
                        </a:solidFill>
                        <a:ln w="9525">
                          <a:solidFill>
                            <a:prstClr val="black"/>
                          </a:solidFill>
                        </a:ln>
                      </wps:spPr>
                      <wps:txbx>
                        <w:txbxContent>
                          <w:p w14:paraId="51D988DA" w14:textId="77777777" w:rsidR="00BA5775" w:rsidRPr="00BA5775" w:rsidRDefault="00BA5775" w:rsidP="00BA5775">
                            <w:pPr>
                              <w:pStyle w:val="KeinLeerraum"/>
                              <w:jc w:val="both"/>
                              <w:rPr>
                                <w:b/>
                                <w:sz w:val="21"/>
                              </w:rPr>
                            </w:pPr>
                            <w:r w:rsidRPr="00BA5775">
                              <w:rPr>
                                <w:b/>
                                <w:sz w:val="21"/>
                              </w:rPr>
                              <w:t>Menschenbild des Grundgesetzes</w:t>
                            </w:r>
                          </w:p>
                          <w:p w14:paraId="2163F115" w14:textId="77777777" w:rsidR="00BA5775" w:rsidRPr="00BA5775" w:rsidRDefault="00BA5775" w:rsidP="00BA5775">
                            <w:pPr>
                              <w:pStyle w:val="KeinLeerraum"/>
                              <w:jc w:val="both"/>
                              <w:rPr>
                                <w:sz w:val="21"/>
                              </w:rPr>
                            </w:pPr>
                            <w:r w:rsidRPr="00BA5775">
                              <w:rPr>
                                <w:sz w:val="21"/>
                              </w:rPr>
                              <w:t>Das Menschenbild des Grundgesetzes ist nicht das eines isolierten souveränen Individuums; das Grundgesetz hat vielmehr die Spannung Individuum-Gemeinschaft im Sinne der Gemeinschaftsbezogenheit und Gemeinschaftsgebundenheit der Person entschieden, ohne dabei deren Eigenwert anzutasten. [...]</w:t>
                            </w:r>
                          </w:p>
                          <w:p w14:paraId="12247CF6" w14:textId="77777777" w:rsidR="00BA5775" w:rsidRDefault="00BA5775" w:rsidP="00BA5775">
                            <w:pPr>
                              <w:pStyle w:val="KeinLeerraum"/>
                              <w:jc w:val="both"/>
                              <w:rPr>
                                <w:sz w:val="21"/>
                              </w:rPr>
                            </w:pPr>
                            <w:r w:rsidRPr="00BA5775">
                              <w:rPr>
                                <w:sz w:val="21"/>
                              </w:rPr>
                              <w:t>Dies heißt aber: Der Einzelne muss sich diejenigen Schranken seiner Handlungsfreiheit gefallen lassen, die der Gesetzgeber zur Pflege und Förderung des sozialen Zusammenlebens in den Grenzen des bei dem gegebenen Sachverhalt allgemein Zumutbaren zieht, vorausgesetzt, dass dabei die Eigenständigkeit der Person gewahrt bleibt.</w:t>
                            </w:r>
                          </w:p>
                          <w:p w14:paraId="1CDAA40A" w14:textId="77777777" w:rsidR="00BA5775" w:rsidRPr="00BA5775" w:rsidRDefault="00BA5775" w:rsidP="00BA5775">
                            <w:pPr>
                              <w:pStyle w:val="KeinLeerraum"/>
                              <w:jc w:val="right"/>
                              <w:rPr>
                                <w:i/>
                                <w:sz w:val="21"/>
                              </w:rPr>
                            </w:pPr>
                            <w:r w:rsidRPr="00BA5775">
                              <w:rPr>
                                <w:i/>
                                <w:sz w:val="21"/>
                              </w:rPr>
                              <w:t>Bundesverfassungsgericht 1952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79039" id="Textfeld 4" o:spid="_x0000_s1027" type="#_x0000_t202" style="position:absolute;left:0;text-align:left;margin-left:154.4pt;margin-top:28.25pt;width:314pt;height:16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" fillcolor="#e7e6e6 [3214]">
                <v:textbox>
                  <w:txbxContent>
                    <w:p w14:paraId="51D988DA" w14:textId="77777777" w:rsidR="00BA5775" w:rsidRPr="00BA5775" w:rsidRDefault="00BA5775" w:rsidP="00BA5775">
                      <w:pPr>
                        <w:pStyle w:val="KeinLeerraum"/>
                        <w:jc w:val="both"/>
                        <w:rPr>
                          <w:b/>
                          <w:sz w:val="21"/>
                        </w:rPr>
                      </w:pPr>
                      <w:r w:rsidRPr="00BA5775">
                        <w:rPr>
                          <w:b/>
                          <w:sz w:val="21"/>
                        </w:rPr>
                        <w:t>Menschenbild des Grundgesetzes</w:t>
                      </w:r>
                    </w:p>
                    <w:p w14:paraId="2163F115" w14:textId="77777777" w:rsidR="00BA5775" w:rsidRPr="00BA5775" w:rsidRDefault="00BA5775" w:rsidP="00BA5775">
                      <w:pPr>
                        <w:pStyle w:val="KeinLeerraum"/>
                        <w:jc w:val="both"/>
                        <w:rPr>
                          <w:sz w:val="21"/>
                        </w:rPr>
                      </w:pPr>
                      <w:r w:rsidRPr="00BA5775">
                        <w:rPr>
                          <w:sz w:val="21"/>
                        </w:rPr>
                        <w:t>Das Menschenbild des Grundgesetzes ist nicht das eines isolierten souveränen Individuums; das Grundgesetz hat vielmehr die Spannung Individuum-Gemeinschaft im Sinne der Gemeinschaftsbezogenheit und Gemeinschaftsgebundenheit der Person entschieden, ohne dabei deren Eigenwert anzutasten. [...]</w:t>
                      </w:r>
                    </w:p>
                    <w:p w14:paraId="12247CF6" w14:textId="77777777" w:rsidR="00BA5775" w:rsidRDefault="00BA5775" w:rsidP="00BA5775">
                      <w:pPr>
                        <w:pStyle w:val="KeinLeerraum"/>
                        <w:jc w:val="both"/>
                        <w:rPr>
                          <w:sz w:val="21"/>
                        </w:rPr>
                      </w:pPr>
                      <w:r w:rsidRPr="00BA5775">
                        <w:rPr>
                          <w:sz w:val="21"/>
                        </w:rPr>
                        <w:t>Dies heißt aber: Der Einzelne muss sich diejenigen Schranken seiner Handlungsfreiheit gefallen lassen, die der Gesetzgeber zur Pflege und Förderung des sozialen Zusammenlebens in den Grenzen des bei dem gegebenen Sachverhalt allgemein Zumutbaren zieht, vorausgesetzt, dass dabei die Eigenständigkeit der Person gewahrt bleibt.</w:t>
                      </w:r>
                    </w:p>
                    <w:p w14:paraId="1CDAA40A" w14:textId="77777777" w:rsidR="00BA5775" w:rsidRPr="00BA5775" w:rsidRDefault="00BA5775" w:rsidP="00BA5775">
                      <w:pPr>
                        <w:pStyle w:val="KeinLeerraum"/>
                        <w:jc w:val="right"/>
                        <w:rPr>
                          <w:i/>
                          <w:sz w:val="21"/>
                        </w:rPr>
                      </w:pPr>
                      <w:r w:rsidRPr="00BA5775">
                        <w:rPr>
                          <w:i/>
                          <w:sz w:val="21"/>
                        </w:rPr>
                        <w:t>Bundesverfassungsgericht 1952</w:t>
                      </w:r>
                    </w:p>
                  </w:txbxContent>
                </v:textbox>
                <w10:wrap type="square"/>
              </v:shape>
            </w:pict>
          </mc:Fallback>
        </mc:AlternateContent>
      </w:r>
      <w:r w:rsidR="00041E7B" w:rsidRPr="00041E7B">
        <w:rPr>
          <w:rFonts w:ascii="Verdana" w:hAnsi="Verdana"/>
          <w:sz w:val="20"/>
          <w:szCs w:val="20"/>
        </w:rPr>
        <w:t xml:space="preserve">Der Einzelne muss Einschränkungen seiner persönlichen Entfaltungsfreiheit hinnehmen, wenn es das Interesse der Gemeinschaft, in der er lebt, erfordert. So verpflichtet z. B. das Grundgesetz die Eltern zur Pflege und Erziehung der Kinder (Art. 6 Abs. 2). </w:t>
      </w:r>
      <w:r w:rsidR="00041E7B">
        <w:rPr>
          <w:rFonts w:ascii="Verdana" w:hAnsi="Verdana"/>
          <w:sz w:val="20"/>
          <w:szCs w:val="20"/>
        </w:rPr>
        <w:t>D</w:t>
      </w:r>
      <w:r w:rsidR="00041E7B" w:rsidRPr="00041E7B">
        <w:rPr>
          <w:rFonts w:ascii="Verdana" w:hAnsi="Verdana"/>
          <w:sz w:val="20"/>
          <w:szCs w:val="20"/>
        </w:rPr>
        <w:t>ie Erhebung von Steuern von den einzelnen Bürgern zur Finanzierung staatlicher Aufgaben kann ebenfalls in diesem Zusammenhang gesehen werden. Aber immer gilt: „In keinem Fall darf ein Grundrecht in seinem Wesensgehalt angetastet werden." (Art. 19 Abs. 2 GG)</w:t>
      </w:r>
    </w:p>
    <w:p w14:paraId="2C94ABC6" w14:textId="77777777" w:rsidR="00041E7B" w:rsidRDefault="00041E7B" w:rsidP="00041E7B">
      <w:pPr>
        <w:pStyle w:val="KeinLeerraum"/>
        <w:rPr>
          <w:rFonts w:ascii="Verdana" w:hAnsi="Verdana"/>
          <w:sz w:val="20"/>
          <w:szCs w:val="20"/>
          <w:lang w:eastAsia="de-DE"/>
        </w:rPr>
      </w:pPr>
    </w:p>
    <w:p w14:paraId="5E8E87FF" w14:textId="4F3B99E5" w:rsidR="00BA5775" w:rsidRDefault="003A1BC3" w:rsidP="003A1BC3">
      <w:pPr>
        <w:pStyle w:val="KeinLeerraum"/>
        <w:jc w:val="both"/>
        <w:rPr>
          <w:rFonts w:ascii="Verdana" w:hAnsi="Verdana"/>
          <w:sz w:val="20"/>
          <w:szCs w:val="20"/>
          <w:lang w:eastAsia="de-DE"/>
        </w:rPr>
      </w:pPr>
      <w:r w:rsidRPr="003A1BC3">
        <w:rPr>
          <w:rFonts w:ascii="Verdana" w:hAnsi="Verdana"/>
          <w:b/>
          <w:bCs/>
          <w:sz w:val="20"/>
          <w:szCs w:val="20"/>
          <w:u w:val="single"/>
          <w:lang w:eastAsia="de-DE"/>
        </w:rPr>
        <w:t>Aufgabe:</w:t>
      </w:r>
      <w:r>
        <w:rPr>
          <w:rFonts w:ascii="Verdana" w:hAnsi="Verdana"/>
          <w:sz w:val="20"/>
          <w:szCs w:val="20"/>
          <w:lang w:eastAsia="de-DE"/>
        </w:rPr>
        <w:t xml:space="preserve"> </w:t>
      </w:r>
      <w:r w:rsidRPr="003A1BC3">
        <w:rPr>
          <w:rFonts w:ascii="Verdana" w:hAnsi="Verdana"/>
          <w:b/>
          <w:bCs/>
          <w:i/>
          <w:iCs/>
          <w:sz w:val="20"/>
          <w:szCs w:val="20"/>
          <w:lang w:eastAsia="de-DE"/>
        </w:rPr>
        <w:t>Stellen Sie das Menschenbild des Grundgesetzes anhand einer aussagekräftigen Skizze da</w:t>
      </w:r>
      <w:r>
        <w:rPr>
          <w:rFonts w:ascii="Verdana" w:hAnsi="Verdana"/>
          <w:b/>
          <w:bCs/>
          <w:i/>
          <w:iCs/>
          <w:sz w:val="20"/>
          <w:szCs w:val="20"/>
          <w:lang w:eastAsia="de-DE"/>
        </w:rPr>
        <w:t>r</w:t>
      </w:r>
      <w:r w:rsidRPr="003A1BC3">
        <w:rPr>
          <w:rFonts w:ascii="Verdana" w:hAnsi="Verdana"/>
          <w:b/>
          <w:bCs/>
          <w:i/>
          <w:iCs/>
          <w:sz w:val="20"/>
          <w:szCs w:val="20"/>
          <w:lang w:eastAsia="de-DE"/>
        </w:rPr>
        <w:t>.</w:t>
      </w:r>
    </w:p>
    <w:p w14:paraId="1D041CE7" w14:textId="77777777" w:rsidR="00BA5775" w:rsidRPr="00041E7B" w:rsidRDefault="00BA5775" w:rsidP="00041E7B">
      <w:pPr>
        <w:pStyle w:val="KeinLeerraum"/>
        <w:rPr>
          <w:rFonts w:ascii="Verdana" w:hAnsi="Verdana"/>
          <w:sz w:val="20"/>
          <w:szCs w:val="20"/>
          <w:lang w:eastAsia="de-DE"/>
        </w:rPr>
      </w:pPr>
    </w:p>
    <w:p w14:paraId="41D58689" w14:textId="77777777" w:rsidR="00041E7B" w:rsidRPr="00041E7B" w:rsidRDefault="00041E7B" w:rsidP="00041E7B">
      <w:pPr>
        <w:pStyle w:val="KeinLeerraum"/>
        <w:rPr>
          <w:rFonts w:ascii="Verdana" w:hAnsi="Verdana"/>
          <w:b/>
          <w:sz w:val="20"/>
          <w:szCs w:val="20"/>
        </w:rPr>
      </w:pPr>
      <w:r w:rsidRPr="00041E7B">
        <w:rPr>
          <w:rFonts w:ascii="Verdana" w:hAnsi="Verdana"/>
          <w:b/>
          <w:sz w:val="21"/>
          <w:szCs w:val="20"/>
        </w:rPr>
        <w:t>Menschenrechte und Bürgerrechte</w:t>
      </w:r>
    </w:p>
    <w:p w14:paraId="37970D96" w14:textId="77777777" w:rsidR="00041E7B" w:rsidRPr="00041E7B" w:rsidRDefault="00041E7B" w:rsidP="002B6B86">
      <w:pPr>
        <w:pStyle w:val="KeinLeerraum"/>
        <w:jc w:val="both"/>
        <w:rPr>
          <w:rFonts w:ascii="Verdana" w:hAnsi="Verdana"/>
          <w:sz w:val="20"/>
          <w:szCs w:val="20"/>
        </w:rPr>
      </w:pPr>
      <w:r w:rsidRPr="00041E7B">
        <w:rPr>
          <w:rFonts w:ascii="Verdana" w:hAnsi="Verdana"/>
          <w:sz w:val="20"/>
          <w:szCs w:val="20"/>
        </w:rPr>
        <w:t>Im Grundrechtekatalog wird unterschieden zwischen Menschenrechten, die für alle Menschen gleichermaßen gelten, und Bürgerrechten, die für deutsche Staatsangehörige und teilweise für ausländische Mitbürger gelten.</w:t>
      </w:r>
    </w:p>
    <w:p w14:paraId="38F108D6" w14:textId="77777777" w:rsidR="00041E7B" w:rsidRPr="00041E7B" w:rsidRDefault="00041E7B" w:rsidP="002B6B86">
      <w:pPr>
        <w:pStyle w:val="KeinLeerraum"/>
        <w:jc w:val="both"/>
        <w:rPr>
          <w:rFonts w:ascii="Verdana" w:hAnsi="Verdana"/>
          <w:sz w:val="20"/>
          <w:szCs w:val="20"/>
          <w:lang w:eastAsia="de-DE"/>
        </w:rPr>
      </w:pPr>
      <w:r w:rsidRPr="00041E7B">
        <w:rPr>
          <w:rFonts w:ascii="Verdana" w:hAnsi="Verdana"/>
          <w:sz w:val="20"/>
          <w:szCs w:val="20"/>
        </w:rPr>
        <w:t>Die Menschenrechte werden dabei als Rechte angesehen, die sich aus der Natur des Menschen ableiten lassen. Nach der Naturrechtslehre bedeutet das, dass jeder Mensch angeborene Rechte besitzt, die ihm nicht genommen werden können. Entsprechend beginnen die Menschenrechte im Grundgesetz immer mit den Worten: „Jeder hat das Recht Dagegen heißt es bei den Bürgerrechten: „Alle Deutschen haben das Recht</w:t>
      </w:r>
      <w:r w:rsidR="002B6B86">
        <w:rPr>
          <w:rFonts w:ascii="Verdana" w:hAnsi="Verdana"/>
          <w:sz w:val="20"/>
          <w:szCs w:val="20"/>
        </w:rPr>
        <w:t xml:space="preserve"> ...“</w:t>
      </w:r>
    </w:p>
    <w:p w14:paraId="11ECCF50" w14:textId="77777777" w:rsidR="00041E7B" w:rsidRDefault="00041E7B" w:rsidP="00041E7B">
      <w:pPr>
        <w:pStyle w:val="KeinLeerraum"/>
        <w:rPr>
          <w:rFonts w:ascii="Verdana" w:hAnsi="Verdana"/>
          <w:szCs w:val="20"/>
          <w:lang w:eastAsia="de-DE"/>
        </w:rPr>
      </w:pPr>
    </w:p>
    <w:tbl>
      <w:tblPr>
        <w:tblStyle w:val="Tabellenraster"/>
        <w:tblW w:w="0" w:type="auto"/>
        <w:tblLook w:val="04A0" w:firstRow="1" w:lastRow="0" w:firstColumn="1" w:lastColumn="0" w:noHBand="0" w:noVBand="1"/>
      </w:tblPr>
      <w:tblGrid>
        <w:gridCol w:w="4669"/>
        <w:gridCol w:w="4669"/>
      </w:tblGrid>
      <w:tr w:rsidR="00620EAA" w14:paraId="78791A17" w14:textId="77777777" w:rsidTr="00D3670D">
        <w:tc>
          <w:tcPr>
            <w:tcW w:w="9338" w:type="dxa"/>
            <w:gridSpan w:val="2"/>
            <w:tcBorders>
              <w:bottom w:val="single" w:sz="4" w:space="0" w:color="auto"/>
            </w:tcBorders>
            <w:shd w:val="pct20" w:color="auto" w:fill="auto"/>
          </w:tcPr>
          <w:p w14:paraId="573C0AC4" w14:textId="77777777" w:rsidR="003A1BC3" w:rsidRDefault="003A1BC3" w:rsidP="00041E7B">
            <w:pPr>
              <w:pStyle w:val="KeinLeerraum"/>
              <w:rPr>
                <w:rFonts w:ascii="Verdana" w:hAnsi="Verdana"/>
                <w:b/>
                <w:sz w:val="21"/>
                <w:szCs w:val="20"/>
                <w:lang w:eastAsia="de-DE"/>
              </w:rPr>
            </w:pPr>
          </w:p>
          <w:p w14:paraId="28A52773" w14:textId="4DC9F154" w:rsidR="00620EAA" w:rsidRPr="003A1BC3" w:rsidRDefault="00620EAA" w:rsidP="00041E7B">
            <w:pPr>
              <w:pStyle w:val="KeinLeerraum"/>
              <w:rPr>
                <w:rFonts w:ascii="Verdana" w:hAnsi="Verdana"/>
                <w:b/>
                <w:sz w:val="21"/>
                <w:szCs w:val="20"/>
                <w:u w:val="single"/>
                <w:lang w:eastAsia="de-DE"/>
              </w:rPr>
            </w:pPr>
            <w:r w:rsidRPr="000F2C5A">
              <w:rPr>
                <w:rFonts w:ascii="Verdana" w:hAnsi="Verdana"/>
                <w:b/>
                <w:sz w:val="21"/>
                <w:szCs w:val="20"/>
                <w:lang w:eastAsia="de-DE"/>
              </w:rPr>
              <w:t xml:space="preserve">Menschenrechte gelten für </w:t>
            </w:r>
            <w:r w:rsidR="003A1BC3">
              <w:rPr>
                <w:rFonts w:ascii="Verdana" w:hAnsi="Verdana"/>
                <w:b/>
                <w:sz w:val="21"/>
                <w:szCs w:val="20"/>
                <w:u w:val="single"/>
                <w:lang w:eastAsia="de-DE"/>
              </w:rPr>
              <w:t xml:space="preserve">                                                 </w:t>
            </w:r>
            <w:r w:rsidR="003A1BC3" w:rsidRPr="003A1BC3">
              <w:rPr>
                <w:rFonts w:ascii="Verdana" w:hAnsi="Verdana"/>
                <w:b/>
                <w:color w:val="D9D9D9" w:themeColor="background1" w:themeShade="D9"/>
                <w:sz w:val="21"/>
                <w:szCs w:val="20"/>
                <w:u w:val="single"/>
                <w:lang w:eastAsia="de-DE"/>
              </w:rPr>
              <w:t>.</w:t>
            </w:r>
          </w:p>
          <w:p w14:paraId="44D9F42C" w14:textId="20744C70" w:rsidR="003A1BC3" w:rsidRPr="000F2C5A" w:rsidRDefault="003A1BC3" w:rsidP="00041E7B">
            <w:pPr>
              <w:pStyle w:val="KeinLeerraum"/>
              <w:rPr>
                <w:rFonts w:ascii="Verdana" w:hAnsi="Verdana"/>
                <w:b/>
                <w:sz w:val="21"/>
                <w:szCs w:val="20"/>
                <w:lang w:eastAsia="de-DE"/>
              </w:rPr>
            </w:pPr>
          </w:p>
        </w:tc>
      </w:tr>
      <w:tr w:rsidR="00620EAA" w14:paraId="03689C05" w14:textId="77777777" w:rsidTr="00D3670D">
        <w:tc>
          <w:tcPr>
            <w:tcW w:w="4669" w:type="dxa"/>
            <w:shd w:val="pct10" w:color="auto" w:fill="auto"/>
          </w:tcPr>
          <w:p w14:paraId="58EAE9F4" w14:textId="77777777" w:rsidR="00620EAA" w:rsidRPr="00D3670D" w:rsidRDefault="00D3670D" w:rsidP="00041E7B">
            <w:pPr>
              <w:pStyle w:val="KeinLeerraum"/>
              <w:rPr>
                <w:rFonts w:ascii="Verdana" w:hAnsi="Verdana"/>
                <w:b/>
                <w:sz w:val="20"/>
                <w:szCs w:val="20"/>
                <w:lang w:eastAsia="de-DE"/>
              </w:rPr>
            </w:pPr>
            <w:r w:rsidRPr="00D3670D">
              <w:rPr>
                <w:rFonts w:ascii="Verdana" w:hAnsi="Verdana"/>
                <w:b/>
                <w:sz w:val="20"/>
                <w:szCs w:val="20"/>
                <w:lang w:eastAsia="de-DE"/>
              </w:rPr>
              <w:t>Freiheitsrechte</w:t>
            </w:r>
          </w:p>
          <w:p w14:paraId="4CFED83D" w14:textId="67E26BA1" w:rsidR="00D3670D" w:rsidRPr="003A1BC3" w:rsidRDefault="003A1BC3" w:rsidP="003A1BC3">
            <w:pPr>
              <w:pStyle w:val="KeinLeerraum"/>
              <w:numPr>
                <w:ilvl w:val="0"/>
                <w:numId w:val="11"/>
              </w:numPr>
              <w:spacing w:line="600" w:lineRule="auto"/>
              <w:rPr>
                <w:rFonts w:ascii="Verdana" w:hAnsi="Verdana"/>
                <w:sz w:val="20"/>
                <w:szCs w:val="20"/>
                <w:lang w:eastAsia="de-DE"/>
              </w:rPr>
            </w:pPr>
            <w:r>
              <w:rPr>
                <w:rFonts w:ascii="Verdana" w:hAnsi="Verdana"/>
                <w:color w:val="FFFFFF" w:themeColor="background1"/>
                <w:sz w:val="20"/>
                <w:szCs w:val="20"/>
                <w:lang w:eastAsia="de-DE"/>
              </w:rPr>
              <w:t xml:space="preserve">                                        </w:t>
            </w:r>
          </w:p>
          <w:p w14:paraId="7447EE4E" w14:textId="45D40BA8" w:rsidR="003A1BC3" w:rsidRPr="003A1BC3" w:rsidRDefault="003A1BC3" w:rsidP="003A1BC3">
            <w:pPr>
              <w:pStyle w:val="KeinLeerraum"/>
              <w:numPr>
                <w:ilvl w:val="0"/>
                <w:numId w:val="11"/>
              </w:numPr>
              <w:spacing w:line="600" w:lineRule="auto"/>
              <w:rPr>
                <w:rFonts w:ascii="Verdana" w:hAnsi="Verdana"/>
                <w:sz w:val="20"/>
                <w:szCs w:val="20"/>
                <w:lang w:eastAsia="de-DE"/>
              </w:rPr>
            </w:pPr>
            <w:r>
              <w:rPr>
                <w:rFonts w:ascii="Verdana" w:hAnsi="Verdana"/>
                <w:color w:val="FFFFFF" w:themeColor="background1"/>
                <w:sz w:val="20"/>
                <w:szCs w:val="20"/>
                <w:lang w:eastAsia="de-DE"/>
              </w:rPr>
              <w:t xml:space="preserve">                                           </w:t>
            </w:r>
          </w:p>
          <w:p w14:paraId="72D00EB6" w14:textId="6487D414" w:rsidR="003A1BC3" w:rsidRPr="003A1BC3" w:rsidRDefault="003A1BC3" w:rsidP="003A1BC3">
            <w:pPr>
              <w:pStyle w:val="KeinLeerraum"/>
              <w:numPr>
                <w:ilvl w:val="0"/>
                <w:numId w:val="11"/>
              </w:numPr>
              <w:spacing w:line="600" w:lineRule="auto"/>
              <w:rPr>
                <w:rFonts w:ascii="Verdana" w:hAnsi="Verdana"/>
                <w:sz w:val="20"/>
                <w:szCs w:val="20"/>
                <w:lang w:eastAsia="de-DE"/>
              </w:rPr>
            </w:pPr>
            <w:r>
              <w:rPr>
                <w:rFonts w:ascii="Verdana" w:hAnsi="Verdana"/>
                <w:color w:val="FFFFFF" w:themeColor="background1"/>
                <w:sz w:val="20"/>
                <w:szCs w:val="20"/>
                <w:lang w:eastAsia="de-DE"/>
              </w:rPr>
              <w:t xml:space="preserve">                                              </w:t>
            </w:r>
          </w:p>
          <w:p w14:paraId="49628B53" w14:textId="77777777" w:rsidR="003A1BC3" w:rsidRPr="00D3670D" w:rsidRDefault="003A1BC3" w:rsidP="003A1BC3">
            <w:pPr>
              <w:pStyle w:val="KeinLeerraum"/>
              <w:numPr>
                <w:ilvl w:val="0"/>
                <w:numId w:val="11"/>
              </w:numPr>
              <w:spacing w:line="600" w:lineRule="auto"/>
              <w:rPr>
                <w:rFonts w:ascii="Verdana" w:hAnsi="Verdana"/>
                <w:sz w:val="20"/>
                <w:szCs w:val="20"/>
                <w:lang w:eastAsia="de-DE"/>
              </w:rPr>
            </w:pPr>
          </w:p>
          <w:p w14:paraId="67BA70C1" w14:textId="0E3E7F10" w:rsidR="00D3670D" w:rsidRPr="00D3670D" w:rsidRDefault="00D3670D" w:rsidP="00D3670D">
            <w:pPr>
              <w:pStyle w:val="KeinLeerraum"/>
              <w:rPr>
                <w:rFonts w:ascii="Verdana" w:hAnsi="Verdana"/>
                <w:b/>
                <w:sz w:val="20"/>
                <w:szCs w:val="20"/>
                <w:lang w:eastAsia="de-DE"/>
              </w:rPr>
            </w:pPr>
            <w:r w:rsidRPr="00D3670D">
              <w:rPr>
                <w:rFonts w:ascii="Verdana" w:hAnsi="Verdana"/>
                <w:b/>
                <w:sz w:val="20"/>
                <w:szCs w:val="20"/>
                <w:lang w:eastAsia="de-DE"/>
              </w:rPr>
              <w:t>Gleichheitsrechte</w:t>
            </w:r>
          </w:p>
          <w:p w14:paraId="74646605" w14:textId="77777777" w:rsidR="00D3670D" w:rsidRDefault="00D3670D" w:rsidP="003A1BC3">
            <w:pPr>
              <w:pStyle w:val="KeinLeerraum"/>
              <w:rPr>
                <w:rFonts w:ascii="Verdana" w:hAnsi="Verdana"/>
                <w:szCs w:val="20"/>
                <w:lang w:eastAsia="de-DE"/>
              </w:rPr>
            </w:pPr>
          </w:p>
          <w:p w14:paraId="37B2A398" w14:textId="77777777" w:rsidR="003A1BC3" w:rsidRPr="003A1BC3" w:rsidRDefault="003A1BC3" w:rsidP="003A1BC3">
            <w:pPr>
              <w:pStyle w:val="KeinLeerraum"/>
              <w:spacing w:line="600" w:lineRule="auto"/>
              <w:ind w:left="313"/>
              <w:rPr>
                <w:rFonts w:ascii="Verdana" w:hAnsi="Verdana"/>
                <w:szCs w:val="20"/>
                <w:lang w:eastAsia="de-DE"/>
              </w:rPr>
            </w:pPr>
            <w:r w:rsidRPr="003A1BC3">
              <w:rPr>
                <w:rFonts w:ascii="Verdana" w:hAnsi="Verdana"/>
                <w:szCs w:val="20"/>
                <w:lang w:eastAsia="de-DE"/>
              </w:rPr>
              <w:t>•</w:t>
            </w:r>
            <w:r w:rsidRPr="003A1BC3">
              <w:rPr>
                <w:rFonts w:ascii="Verdana" w:hAnsi="Verdana"/>
                <w:szCs w:val="20"/>
                <w:lang w:eastAsia="de-DE"/>
              </w:rPr>
              <w:tab/>
              <w:t xml:space="preserve">                                        </w:t>
            </w:r>
          </w:p>
          <w:p w14:paraId="5B3ABF65" w14:textId="77777777" w:rsidR="003A1BC3" w:rsidRPr="003A1BC3" w:rsidRDefault="003A1BC3" w:rsidP="003A1BC3">
            <w:pPr>
              <w:pStyle w:val="KeinLeerraum"/>
              <w:spacing w:line="600" w:lineRule="auto"/>
              <w:ind w:left="313"/>
              <w:rPr>
                <w:rFonts w:ascii="Verdana" w:hAnsi="Verdana"/>
                <w:szCs w:val="20"/>
                <w:lang w:eastAsia="de-DE"/>
              </w:rPr>
            </w:pPr>
            <w:r w:rsidRPr="003A1BC3">
              <w:rPr>
                <w:rFonts w:ascii="Verdana" w:hAnsi="Verdana"/>
                <w:szCs w:val="20"/>
                <w:lang w:eastAsia="de-DE"/>
              </w:rPr>
              <w:t>•</w:t>
            </w:r>
            <w:r w:rsidRPr="003A1BC3">
              <w:rPr>
                <w:rFonts w:ascii="Verdana" w:hAnsi="Verdana"/>
                <w:szCs w:val="20"/>
                <w:lang w:eastAsia="de-DE"/>
              </w:rPr>
              <w:tab/>
              <w:t xml:space="preserve">                                           </w:t>
            </w:r>
          </w:p>
          <w:p w14:paraId="0EB03258" w14:textId="77777777" w:rsidR="003A1BC3" w:rsidRDefault="003A1BC3" w:rsidP="003A1BC3">
            <w:pPr>
              <w:pStyle w:val="KeinLeerraum"/>
              <w:spacing w:line="600" w:lineRule="auto"/>
              <w:ind w:left="313"/>
              <w:rPr>
                <w:rFonts w:ascii="Verdana" w:hAnsi="Verdana"/>
                <w:szCs w:val="20"/>
                <w:lang w:eastAsia="de-DE"/>
              </w:rPr>
            </w:pPr>
            <w:r w:rsidRPr="003A1BC3">
              <w:rPr>
                <w:rFonts w:ascii="Verdana" w:hAnsi="Verdana"/>
                <w:szCs w:val="20"/>
                <w:lang w:eastAsia="de-DE"/>
              </w:rPr>
              <w:t>•</w:t>
            </w:r>
            <w:r w:rsidRPr="003A1BC3">
              <w:rPr>
                <w:rFonts w:ascii="Verdana" w:hAnsi="Verdana"/>
                <w:szCs w:val="20"/>
                <w:lang w:eastAsia="de-DE"/>
              </w:rPr>
              <w:tab/>
              <w:t xml:space="preserve">   </w:t>
            </w:r>
          </w:p>
          <w:p w14:paraId="29F35172" w14:textId="6042BF8E" w:rsidR="003A1BC3" w:rsidRDefault="003A1BC3" w:rsidP="003A1BC3">
            <w:pPr>
              <w:pStyle w:val="KeinLeerraum"/>
              <w:numPr>
                <w:ilvl w:val="0"/>
                <w:numId w:val="11"/>
              </w:numPr>
              <w:spacing w:line="600" w:lineRule="auto"/>
              <w:rPr>
                <w:rFonts w:ascii="Verdana" w:hAnsi="Verdana"/>
                <w:szCs w:val="20"/>
                <w:lang w:eastAsia="de-DE"/>
              </w:rPr>
            </w:pPr>
          </w:p>
        </w:tc>
        <w:tc>
          <w:tcPr>
            <w:tcW w:w="4669" w:type="dxa"/>
            <w:shd w:val="pct10" w:color="auto" w:fill="auto"/>
          </w:tcPr>
          <w:p w14:paraId="768853A2" w14:textId="77777777" w:rsidR="00620EAA" w:rsidRPr="00D3670D" w:rsidRDefault="00D3670D" w:rsidP="00041E7B">
            <w:pPr>
              <w:pStyle w:val="KeinLeerraum"/>
              <w:rPr>
                <w:rFonts w:ascii="Verdana" w:hAnsi="Verdana"/>
                <w:b/>
                <w:sz w:val="20"/>
                <w:szCs w:val="20"/>
                <w:lang w:eastAsia="de-DE"/>
              </w:rPr>
            </w:pPr>
            <w:r w:rsidRPr="00D3670D">
              <w:rPr>
                <w:rFonts w:ascii="Verdana" w:hAnsi="Verdana"/>
                <w:b/>
                <w:sz w:val="20"/>
                <w:szCs w:val="20"/>
                <w:lang w:eastAsia="de-DE"/>
              </w:rPr>
              <w:t>Soziale Rechte</w:t>
            </w:r>
          </w:p>
          <w:p w14:paraId="66FD6A28" w14:textId="77777777" w:rsidR="00D3670D" w:rsidRPr="00D3670D" w:rsidRDefault="00D3670D" w:rsidP="00D3670D">
            <w:pPr>
              <w:pStyle w:val="KeinLeerraum"/>
              <w:numPr>
                <w:ilvl w:val="0"/>
                <w:numId w:val="9"/>
              </w:numPr>
              <w:rPr>
                <w:rFonts w:ascii="Verdana" w:hAnsi="Verdana"/>
                <w:sz w:val="20"/>
                <w:szCs w:val="20"/>
                <w:lang w:eastAsia="de-DE"/>
              </w:rPr>
            </w:pPr>
            <w:r w:rsidRPr="00D3670D">
              <w:rPr>
                <w:rFonts w:ascii="Verdana" w:hAnsi="Verdana"/>
                <w:sz w:val="20"/>
                <w:szCs w:val="20"/>
                <w:lang w:eastAsia="de-DE"/>
              </w:rPr>
              <w:t>Schutz von Ehe und Familie (Art. 6)</w:t>
            </w:r>
          </w:p>
          <w:p w14:paraId="22DE678F" w14:textId="77777777" w:rsidR="00D3670D" w:rsidRPr="00D3670D" w:rsidRDefault="00D3670D" w:rsidP="00D3670D">
            <w:pPr>
              <w:pStyle w:val="KeinLeerraum"/>
              <w:numPr>
                <w:ilvl w:val="0"/>
                <w:numId w:val="9"/>
              </w:numPr>
              <w:rPr>
                <w:rFonts w:ascii="Verdana" w:hAnsi="Verdana"/>
                <w:sz w:val="20"/>
                <w:szCs w:val="20"/>
                <w:lang w:eastAsia="de-DE"/>
              </w:rPr>
            </w:pPr>
            <w:r w:rsidRPr="00D3670D">
              <w:rPr>
                <w:rFonts w:ascii="Verdana" w:hAnsi="Verdana"/>
                <w:sz w:val="20"/>
                <w:szCs w:val="20"/>
                <w:lang w:eastAsia="de-DE"/>
              </w:rPr>
              <w:t>Anspruch jeder Mutter auf Schutz und Fürsorge durch den Staat (Art. 6)</w:t>
            </w:r>
          </w:p>
          <w:p w14:paraId="4937A96C" w14:textId="77777777" w:rsidR="00D3670D" w:rsidRPr="00D3670D" w:rsidRDefault="00D3670D" w:rsidP="00D3670D">
            <w:pPr>
              <w:pStyle w:val="KeinLeerraum"/>
              <w:numPr>
                <w:ilvl w:val="0"/>
                <w:numId w:val="9"/>
              </w:numPr>
              <w:rPr>
                <w:rFonts w:ascii="Verdana" w:hAnsi="Verdana"/>
                <w:sz w:val="20"/>
                <w:szCs w:val="20"/>
                <w:lang w:eastAsia="de-DE"/>
              </w:rPr>
            </w:pPr>
            <w:r w:rsidRPr="00D3670D">
              <w:rPr>
                <w:rFonts w:ascii="Verdana" w:hAnsi="Verdana"/>
                <w:sz w:val="20"/>
                <w:szCs w:val="20"/>
                <w:lang w:eastAsia="de-DE"/>
              </w:rPr>
              <w:t>Recht zur Errichtung von privaten Schulen (Art. 7)</w:t>
            </w:r>
          </w:p>
          <w:p w14:paraId="776B7138" w14:textId="77777777" w:rsidR="00D3670D" w:rsidRPr="00D3670D" w:rsidRDefault="00D3670D" w:rsidP="00D3670D">
            <w:pPr>
              <w:pStyle w:val="KeinLeerraum"/>
              <w:numPr>
                <w:ilvl w:val="0"/>
                <w:numId w:val="9"/>
              </w:numPr>
              <w:rPr>
                <w:rFonts w:ascii="Verdana" w:hAnsi="Verdana"/>
                <w:sz w:val="20"/>
                <w:szCs w:val="20"/>
                <w:lang w:eastAsia="de-DE"/>
              </w:rPr>
            </w:pPr>
            <w:r w:rsidRPr="00D3670D">
              <w:rPr>
                <w:rFonts w:ascii="Verdana" w:hAnsi="Verdana"/>
                <w:sz w:val="20"/>
                <w:szCs w:val="20"/>
                <w:lang w:eastAsia="de-DE"/>
              </w:rPr>
              <w:t>Koalitionsfreiheit (Art. 9)</w:t>
            </w:r>
          </w:p>
          <w:p w14:paraId="6FE35B24" w14:textId="77777777" w:rsidR="00D3670D" w:rsidRPr="00D3670D" w:rsidRDefault="00D3670D" w:rsidP="00D3670D">
            <w:pPr>
              <w:pStyle w:val="KeinLeerraum"/>
              <w:numPr>
                <w:ilvl w:val="0"/>
                <w:numId w:val="9"/>
              </w:numPr>
              <w:rPr>
                <w:rFonts w:ascii="Verdana" w:hAnsi="Verdana"/>
                <w:sz w:val="20"/>
                <w:szCs w:val="20"/>
                <w:lang w:eastAsia="de-DE"/>
              </w:rPr>
            </w:pPr>
            <w:r w:rsidRPr="00D3670D">
              <w:rPr>
                <w:rFonts w:ascii="Verdana" w:hAnsi="Verdana"/>
                <w:sz w:val="20"/>
                <w:szCs w:val="20"/>
                <w:lang w:eastAsia="de-DE"/>
              </w:rPr>
              <w:t>Asylrecht (Art. 16)</w:t>
            </w:r>
          </w:p>
          <w:p w14:paraId="002C6034" w14:textId="77777777" w:rsidR="00D3670D" w:rsidRPr="00D3670D" w:rsidRDefault="00D3670D" w:rsidP="00D3670D">
            <w:pPr>
              <w:pStyle w:val="KeinLeerraum"/>
              <w:rPr>
                <w:rFonts w:ascii="Verdana" w:hAnsi="Verdana"/>
                <w:sz w:val="20"/>
                <w:szCs w:val="20"/>
                <w:lang w:eastAsia="de-DE"/>
              </w:rPr>
            </w:pPr>
          </w:p>
          <w:p w14:paraId="2C6BE156" w14:textId="77777777" w:rsidR="003A1BC3" w:rsidRDefault="003A1BC3" w:rsidP="00D3670D">
            <w:pPr>
              <w:pStyle w:val="KeinLeerraum"/>
              <w:rPr>
                <w:rFonts w:ascii="Verdana" w:hAnsi="Verdana"/>
                <w:b/>
                <w:sz w:val="20"/>
                <w:szCs w:val="20"/>
                <w:lang w:eastAsia="de-DE"/>
              </w:rPr>
            </w:pPr>
          </w:p>
          <w:p w14:paraId="2637B81E" w14:textId="77777777" w:rsidR="003A1BC3" w:rsidRDefault="003A1BC3" w:rsidP="00D3670D">
            <w:pPr>
              <w:pStyle w:val="KeinLeerraum"/>
              <w:rPr>
                <w:rFonts w:ascii="Verdana" w:hAnsi="Verdana"/>
                <w:b/>
                <w:sz w:val="20"/>
                <w:szCs w:val="20"/>
                <w:lang w:eastAsia="de-DE"/>
              </w:rPr>
            </w:pPr>
          </w:p>
          <w:p w14:paraId="41736290" w14:textId="41B05EF5" w:rsidR="00D3670D" w:rsidRPr="00D3670D" w:rsidRDefault="00D3670D" w:rsidP="00D3670D">
            <w:pPr>
              <w:pStyle w:val="KeinLeerraum"/>
              <w:rPr>
                <w:rFonts w:ascii="Verdana" w:hAnsi="Verdana"/>
                <w:b/>
                <w:sz w:val="20"/>
                <w:szCs w:val="20"/>
                <w:lang w:eastAsia="de-DE"/>
              </w:rPr>
            </w:pPr>
            <w:r w:rsidRPr="00D3670D">
              <w:rPr>
                <w:rFonts w:ascii="Verdana" w:hAnsi="Verdana"/>
                <w:b/>
                <w:sz w:val="20"/>
                <w:szCs w:val="20"/>
                <w:lang w:eastAsia="de-DE"/>
              </w:rPr>
              <w:t>Unverletzlichkeitsrechte</w:t>
            </w:r>
          </w:p>
          <w:p w14:paraId="02990695" w14:textId="77777777" w:rsidR="00D3670D" w:rsidRPr="00D3670D" w:rsidRDefault="00D3670D" w:rsidP="00D3670D">
            <w:pPr>
              <w:pStyle w:val="KeinLeerraum"/>
              <w:numPr>
                <w:ilvl w:val="0"/>
                <w:numId w:val="9"/>
              </w:numPr>
              <w:rPr>
                <w:rFonts w:ascii="Verdana" w:hAnsi="Verdana"/>
                <w:sz w:val="20"/>
                <w:szCs w:val="20"/>
                <w:lang w:eastAsia="de-DE"/>
              </w:rPr>
            </w:pPr>
            <w:r w:rsidRPr="00D3670D">
              <w:rPr>
                <w:rFonts w:ascii="Verdana" w:hAnsi="Verdana"/>
                <w:sz w:val="20"/>
                <w:szCs w:val="20"/>
                <w:lang w:eastAsia="de-DE"/>
              </w:rPr>
              <w:t>Recht auf Leben und körperliche Unversehrtheit (Art. 2)</w:t>
            </w:r>
          </w:p>
          <w:p w14:paraId="439E42F1" w14:textId="77777777" w:rsidR="00D3670D" w:rsidRPr="00D3670D" w:rsidRDefault="00D3670D" w:rsidP="00D3670D">
            <w:pPr>
              <w:pStyle w:val="KeinLeerraum"/>
              <w:numPr>
                <w:ilvl w:val="0"/>
                <w:numId w:val="9"/>
              </w:numPr>
              <w:rPr>
                <w:rFonts w:ascii="Verdana" w:hAnsi="Verdana"/>
                <w:sz w:val="16"/>
                <w:szCs w:val="20"/>
                <w:lang w:eastAsia="de-DE"/>
              </w:rPr>
            </w:pPr>
            <w:r w:rsidRPr="00D3670D">
              <w:rPr>
                <w:rFonts w:ascii="Verdana" w:hAnsi="Verdana"/>
                <w:sz w:val="20"/>
                <w:szCs w:val="20"/>
                <w:lang w:eastAsia="de-DE"/>
              </w:rPr>
              <w:t>Gewährleistung von Eigentum (Art. 14)</w:t>
            </w:r>
          </w:p>
          <w:p w14:paraId="297AF5F7" w14:textId="77777777" w:rsidR="00D3670D" w:rsidRPr="00D3670D" w:rsidRDefault="00D3670D" w:rsidP="00D3670D">
            <w:pPr>
              <w:pStyle w:val="KeinLeerraum"/>
              <w:numPr>
                <w:ilvl w:val="0"/>
                <w:numId w:val="9"/>
              </w:numPr>
              <w:rPr>
                <w:rFonts w:ascii="Verdana" w:hAnsi="Verdana"/>
                <w:sz w:val="20"/>
                <w:szCs w:val="20"/>
                <w:lang w:eastAsia="de-DE"/>
              </w:rPr>
            </w:pPr>
            <w:r w:rsidRPr="00D3670D">
              <w:rPr>
                <w:rFonts w:ascii="Verdana" w:hAnsi="Verdana"/>
                <w:sz w:val="20"/>
                <w:szCs w:val="20"/>
                <w:lang w:eastAsia="de-DE"/>
              </w:rPr>
              <w:t>Unverletzlichkeit des Brief-, Post- und Fernmeldegeheimnisses (Art. 10)</w:t>
            </w:r>
          </w:p>
          <w:p w14:paraId="6D3ACA1D" w14:textId="77777777" w:rsidR="00D3670D" w:rsidRDefault="00D3670D" w:rsidP="00D3670D">
            <w:pPr>
              <w:pStyle w:val="KeinLeerraum"/>
              <w:numPr>
                <w:ilvl w:val="0"/>
                <w:numId w:val="9"/>
              </w:numPr>
              <w:rPr>
                <w:rFonts w:ascii="Verdana" w:hAnsi="Verdana"/>
                <w:szCs w:val="20"/>
                <w:lang w:eastAsia="de-DE"/>
              </w:rPr>
            </w:pPr>
            <w:r w:rsidRPr="00D3670D">
              <w:rPr>
                <w:rFonts w:ascii="Verdana" w:hAnsi="Verdana"/>
                <w:sz w:val="20"/>
                <w:szCs w:val="20"/>
                <w:lang w:eastAsia="de-DE"/>
              </w:rPr>
              <w:t>Unverletzlichkeit der Wohnung (Art. 13)</w:t>
            </w:r>
          </w:p>
        </w:tc>
      </w:tr>
    </w:tbl>
    <w:p w14:paraId="5F362B6E" w14:textId="77777777" w:rsidR="002B6B86" w:rsidRPr="00894EFE" w:rsidRDefault="002B6B86" w:rsidP="00041E7B">
      <w:pPr>
        <w:pStyle w:val="KeinLeerraum"/>
        <w:rPr>
          <w:rFonts w:ascii="Verdana" w:hAnsi="Verdana"/>
          <w:sz w:val="18"/>
          <w:szCs w:val="20"/>
          <w:lang w:eastAsia="de-DE"/>
        </w:rPr>
      </w:pPr>
    </w:p>
    <w:tbl>
      <w:tblPr>
        <w:tblStyle w:val="Tabellenraster"/>
        <w:tblW w:w="0" w:type="auto"/>
        <w:tblLook w:val="04A0" w:firstRow="1" w:lastRow="0" w:firstColumn="1" w:lastColumn="0" w:noHBand="0" w:noVBand="1"/>
      </w:tblPr>
      <w:tblGrid>
        <w:gridCol w:w="4669"/>
        <w:gridCol w:w="4669"/>
      </w:tblGrid>
      <w:tr w:rsidR="00D3670D" w:rsidRPr="00D3670D" w14:paraId="24F1800D" w14:textId="77777777" w:rsidTr="009A455B">
        <w:tc>
          <w:tcPr>
            <w:tcW w:w="9338" w:type="dxa"/>
            <w:gridSpan w:val="2"/>
            <w:tcBorders>
              <w:bottom w:val="single" w:sz="4" w:space="0" w:color="auto"/>
            </w:tcBorders>
            <w:shd w:val="pct20" w:color="auto" w:fill="auto"/>
          </w:tcPr>
          <w:p w14:paraId="071BB2C1" w14:textId="77777777" w:rsidR="003A1BC3" w:rsidRDefault="003A1BC3" w:rsidP="009A455B">
            <w:pPr>
              <w:pStyle w:val="KeinLeerraum"/>
              <w:rPr>
                <w:rFonts w:ascii="Verdana" w:hAnsi="Verdana"/>
                <w:b/>
                <w:sz w:val="21"/>
                <w:szCs w:val="20"/>
                <w:lang w:eastAsia="de-DE"/>
              </w:rPr>
            </w:pPr>
          </w:p>
          <w:p w14:paraId="0220FD9C" w14:textId="3575E695" w:rsidR="00D3670D" w:rsidRDefault="00D3670D" w:rsidP="009A455B">
            <w:pPr>
              <w:pStyle w:val="KeinLeerraum"/>
              <w:rPr>
                <w:rFonts w:ascii="Verdana" w:hAnsi="Verdana"/>
                <w:b/>
                <w:sz w:val="21"/>
                <w:szCs w:val="20"/>
                <w:lang w:eastAsia="de-DE"/>
              </w:rPr>
            </w:pPr>
            <w:r w:rsidRPr="000F2C5A">
              <w:rPr>
                <w:rFonts w:ascii="Verdana" w:hAnsi="Verdana"/>
                <w:b/>
                <w:sz w:val="21"/>
                <w:szCs w:val="20"/>
                <w:lang w:eastAsia="de-DE"/>
              </w:rPr>
              <w:t xml:space="preserve">Bürgerrechte gelten für </w:t>
            </w:r>
            <w:r w:rsidR="003A1BC3">
              <w:rPr>
                <w:rFonts w:ascii="Verdana" w:hAnsi="Verdana"/>
                <w:b/>
                <w:sz w:val="21"/>
                <w:szCs w:val="20"/>
                <w:u w:val="single"/>
                <w:lang w:eastAsia="de-DE"/>
              </w:rPr>
              <w:t xml:space="preserve">                                </w:t>
            </w:r>
            <w:r w:rsidR="003A1BC3">
              <w:rPr>
                <w:rFonts w:ascii="Verdana" w:hAnsi="Verdana"/>
                <w:b/>
                <w:sz w:val="21"/>
                <w:szCs w:val="20"/>
                <w:u w:val="single"/>
                <w:lang w:eastAsia="de-DE"/>
              </w:rPr>
              <w:t xml:space="preserve">                          </w:t>
            </w:r>
            <w:r w:rsidR="003A1BC3">
              <w:rPr>
                <w:rFonts w:ascii="Verdana" w:hAnsi="Verdana"/>
                <w:b/>
                <w:sz w:val="21"/>
                <w:szCs w:val="20"/>
                <w:u w:val="single"/>
                <w:lang w:eastAsia="de-DE"/>
              </w:rPr>
              <w:t xml:space="preserve">                 </w:t>
            </w:r>
            <w:r w:rsidR="003A1BC3" w:rsidRPr="003A1BC3">
              <w:rPr>
                <w:rFonts w:ascii="Verdana" w:hAnsi="Verdana"/>
                <w:b/>
                <w:color w:val="D9D9D9" w:themeColor="background1" w:themeShade="D9"/>
                <w:sz w:val="21"/>
                <w:szCs w:val="20"/>
                <w:u w:val="single"/>
                <w:lang w:eastAsia="de-DE"/>
              </w:rPr>
              <w:t>.</w:t>
            </w:r>
          </w:p>
          <w:p w14:paraId="3C2CFCF8" w14:textId="49EFAC4C" w:rsidR="003A1BC3" w:rsidRPr="000F2C5A" w:rsidRDefault="003A1BC3" w:rsidP="009A455B">
            <w:pPr>
              <w:pStyle w:val="KeinLeerraum"/>
              <w:rPr>
                <w:rFonts w:ascii="Verdana" w:hAnsi="Verdana"/>
                <w:b/>
                <w:sz w:val="21"/>
                <w:szCs w:val="20"/>
                <w:lang w:eastAsia="de-DE"/>
              </w:rPr>
            </w:pPr>
            <w:r>
              <w:rPr>
                <w:rFonts w:ascii="Verdana" w:hAnsi="Verdana"/>
                <w:b/>
                <w:sz w:val="21"/>
                <w:szCs w:val="20"/>
                <w:lang w:eastAsia="de-DE"/>
              </w:rPr>
              <w:t xml:space="preserve">                    </w:t>
            </w:r>
          </w:p>
        </w:tc>
      </w:tr>
      <w:tr w:rsidR="00D3670D" w14:paraId="05D148AC" w14:textId="77777777" w:rsidTr="003A1BC3">
        <w:trPr>
          <w:trHeight w:val="3198"/>
        </w:trPr>
        <w:tc>
          <w:tcPr>
            <w:tcW w:w="4669" w:type="dxa"/>
            <w:shd w:val="pct10" w:color="auto" w:fill="auto"/>
          </w:tcPr>
          <w:p w14:paraId="5FCA30E9" w14:textId="77777777" w:rsidR="00D3670D" w:rsidRPr="007C5D8E" w:rsidRDefault="00D3670D" w:rsidP="009A455B">
            <w:pPr>
              <w:pStyle w:val="KeinLeerraum"/>
              <w:rPr>
                <w:rFonts w:ascii="Verdana" w:hAnsi="Verdana"/>
                <w:b/>
                <w:sz w:val="20"/>
                <w:szCs w:val="20"/>
                <w:lang w:eastAsia="de-DE"/>
              </w:rPr>
            </w:pPr>
            <w:r w:rsidRPr="007C5D8E">
              <w:rPr>
                <w:rFonts w:ascii="Verdana" w:hAnsi="Verdana"/>
                <w:b/>
                <w:sz w:val="20"/>
                <w:szCs w:val="20"/>
                <w:lang w:eastAsia="de-DE"/>
              </w:rPr>
              <w:t>Grundrechtekatalog</w:t>
            </w:r>
          </w:p>
          <w:p w14:paraId="6AC351B4" w14:textId="77777777" w:rsidR="00D3670D" w:rsidRPr="007C5D8E" w:rsidRDefault="00D3670D" w:rsidP="00D3670D">
            <w:pPr>
              <w:pStyle w:val="KeinLeerraum"/>
              <w:numPr>
                <w:ilvl w:val="0"/>
                <w:numId w:val="9"/>
              </w:numPr>
              <w:rPr>
                <w:rFonts w:ascii="Verdana" w:hAnsi="Verdana"/>
                <w:sz w:val="20"/>
                <w:szCs w:val="20"/>
                <w:lang w:eastAsia="de-DE"/>
              </w:rPr>
            </w:pPr>
            <w:r w:rsidRPr="007C5D8E">
              <w:rPr>
                <w:rFonts w:ascii="Verdana" w:hAnsi="Verdana"/>
                <w:sz w:val="20"/>
                <w:szCs w:val="20"/>
                <w:lang w:eastAsia="de-DE"/>
              </w:rPr>
              <w:t>Versammlungsfreiheit (Art. 8)</w:t>
            </w:r>
          </w:p>
          <w:p w14:paraId="62225848" w14:textId="77777777" w:rsidR="00D3670D" w:rsidRDefault="00D3670D" w:rsidP="00D3670D">
            <w:pPr>
              <w:pStyle w:val="KeinLeerraum"/>
              <w:numPr>
                <w:ilvl w:val="0"/>
                <w:numId w:val="9"/>
              </w:numPr>
              <w:rPr>
                <w:rFonts w:ascii="Verdana" w:hAnsi="Verdana"/>
                <w:sz w:val="20"/>
                <w:szCs w:val="20"/>
                <w:lang w:eastAsia="de-DE"/>
              </w:rPr>
            </w:pPr>
            <w:r w:rsidRPr="007C5D8E">
              <w:rPr>
                <w:rFonts w:ascii="Verdana" w:hAnsi="Verdana"/>
                <w:sz w:val="20"/>
                <w:szCs w:val="20"/>
                <w:lang w:eastAsia="de-DE"/>
              </w:rPr>
              <w:t>Vereins- und Vereinigungsfreiheit (Art. 9)</w:t>
            </w:r>
          </w:p>
          <w:p w14:paraId="5AA19F97" w14:textId="77777777" w:rsidR="007C5D8E" w:rsidRDefault="007C5D8E" w:rsidP="00D3670D">
            <w:pPr>
              <w:pStyle w:val="KeinLeerraum"/>
              <w:numPr>
                <w:ilvl w:val="0"/>
                <w:numId w:val="9"/>
              </w:numPr>
              <w:rPr>
                <w:rFonts w:ascii="Verdana" w:hAnsi="Verdana"/>
                <w:sz w:val="20"/>
                <w:szCs w:val="20"/>
                <w:lang w:eastAsia="de-DE"/>
              </w:rPr>
            </w:pPr>
            <w:r>
              <w:rPr>
                <w:rFonts w:ascii="Verdana" w:hAnsi="Verdana"/>
                <w:sz w:val="20"/>
                <w:szCs w:val="20"/>
                <w:lang w:eastAsia="de-DE"/>
              </w:rPr>
              <w:t>Freizügigkeit (Art. 11)</w:t>
            </w:r>
          </w:p>
          <w:p w14:paraId="0574511B" w14:textId="77777777" w:rsidR="007C5D8E" w:rsidRDefault="007C5D8E" w:rsidP="00D3670D">
            <w:pPr>
              <w:pStyle w:val="KeinLeerraum"/>
              <w:numPr>
                <w:ilvl w:val="0"/>
                <w:numId w:val="9"/>
              </w:numPr>
              <w:rPr>
                <w:rFonts w:ascii="Verdana" w:hAnsi="Verdana"/>
                <w:sz w:val="20"/>
                <w:szCs w:val="20"/>
                <w:lang w:eastAsia="de-DE"/>
              </w:rPr>
            </w:pPr>
            <w:r>
              <w:rPr>
                <w:rFonts w:ascii="Verdana" w:hAnsi="Verdana"/>
                <w:sz w:val="20"/>
                <w:szCs w:val="20"/>
                <w:lang w:eastAsia="de-DE"/>
              </w:rPr>
              <w:t>Berufswahlfreiheit und freie Wahl der Ausbildungsstätte und des Arbeitsplatzes (Art. 12)</w:t>
            </w:r>
          </w:p>
          <w:p w14:paraId="5A5825D7" w14:textId="77777777" w:rsidR="007C5D8E" w:rsidRDefault="007C5D8E" w:rsidP="00D3670D">
            <w:pPr>
              <w:pStyle w:val="KeinLeerraum"/>
              <w:numPr>
                <w:ilvl w:val="0"/>
                <w:numId w:val="9"/>
              </w:numPr>
              <w:rPr>
                <w:rFonts w:ascii="Verdana" w:hAnsi="Verdana"/>
                <w:sz w:val="20"/>
                <w:szCs w:val="20"/>
                <w:lang w:eastAsia="de-DE"/>
              </w:rPr>
            </w:pPr>
            <w:r>
              <w:rPr>
                <w:rFonts w:ascii="Verdana" w:hAnsi="Verdana"/>
                <w:sz w:val="20"/>
                <w:szCs w:val="20"/>
                <w:lang w:eastAsia="de-DE"/>
              </w:rPr>
              <w:t>Ausbürgerungsverbot (Art. 16)</w:t>
            </w:r>
          </w:p>
          <w:p w14:paraId="02B08951" w14:textId="77777777" w:rsidR="007C5D8E" w:rsidRPr="007C5D8E" w:rsidRDefault="007C5D8E" w:rsidP="00D3670D">
            <w:pPr>
              <w:pStyle w:val="KeinLeerraum"/>
              <w:numPr>
                <w:ilvl w:val="0"/>
                <w:numId w:val="9"/>
              </w:numPr>
              <w:rPr>
                <w:rFonts w:ascii="Verdana" w:hAnsi="Verdana"/>
                <w:sz w:val="20"/>
                <w:szCs w:val="20"/>
                <w:lang w:eastAsia="de-DE"/>
              </w:rPr>
            </w:pPr>
            <w:r>
              <w:rPr>
                <w:rFonts w:ascii="Verdana" w:hAnsi="Verdana"/>
                <w:sz w:val="20"/>
                <w:szCs w:val="20"/>
                <w:lang w:eastAsia="de-DE"/>
              </w:rPr>
              <w:t>Auslieferungsverbot (Art. 16)</w:t>
            </w:r>
          </w:p>
        </w:tc>
        <w:tc>
          <w:tcPr>
            <w:tcW w:w="4669" w:type="dxa"/>
            <w:shd w:val="pct10" w:color="auto" w:fill="auto"/>
          </w:tcPr>
          <w:p w14:paraId="4990A498" w14:textId="77777777" w:rsidR="00D3670D" w:rsidRPr="007C5D8E" w:rsidRDefault="00D3670D" w:rsidP="009A455B">
            <w:pPr>
              <w:pStyle w:val="KeinLeerraum"/>
              <w:rPr>
                <w:rFonts w:ascii="Verdana" w:hAnsi="Verdana"/>
                <w:b/>
                <w:sz w:val="20"/>
                <w:szCs w:val="20"/>
                <w:lang w:eastAsia="de-DE"/>
              </w:rPr>
            </w:pPr>
            <w:r w:rsidRPr="007C5D8E">
              <w:rPr>
                <w:rFonts w:ascii="Verdana" w:hAnsi="Verdana"/>
                <w:b/>
                <w:sz w:val="20"/>
                <w:szCs w:val="20"/>
                <w:lang w:eastAsia="de-DE"/>
              </w:rPr>
              <w:t>Weitere Rechte</w:t>
            </w:r>
          </w:p>
          <w:p w14:paraId="4D072F97" w14:textId="77777777" w:rsidR="00D3670D" w:rsidRDefault="00D3670D" w:rsidP="009A455B">
            <w:pPr>
              <w:pStyle w:val="KeinLeerraum"/>
              <w:numPr>
                <w:ilvl w:val="0"/>
                <w:numId w:val="9"/>
              </w:numPr>
              <w:rPr>
                <w:rFonts w:ascii="Verdana" w:hAnsi="Verdana"/>
                <w:sz w:val="20"/>
                <w:szCs w:val="20"/>
                <w:lang w:eastAsia="de-DE"/>
              </w:rPr>
            </w:pPr>
            <w:r w:rsidRPr="007C5D8E">
              <w:rPr>
                <w:rFonts w:ascii="Verdana" w:hAnsi="Verdana"/>
                <w:sz w:val="20"/>
                <w:szCs w:val="20"/>
                <w:lang w:eastAsia="de-DE"/>
              </w:rPr>
              <w:t>Widerstandsrecht (Art. 20)</w:t>
            </w:r>
          </w:p>
          <w:p w14:paraId="27B99291" w14:textId="77777777" w:rsidR="007C5D8E" w:rsidRDefault="007C5D8E" w:rsidP="009A455B">
            <w:pPr>
              <w:pStyle w:val="KeinLeerraum"/>
              <w:numPr>
                <w:ilvl w:val="0"/>
                <w:numId w:val="9"/>
              </w:numPr>
              <w:rPr>
                <w:rFonts w:ascii="Verdana" w:hAnsi="Verdana"/>
                <w:sz w:val="20"/>
                <w:szCs w:val="20"/>
                <w:lang w:eastAsia="de-DE"/>
              </w:rPr>
            </w:pPr>
            <w:r>
              <w:rPr>
                <w:rFonts w:ascii="Verdana" w:hAnsi="Verdana"/>
                <w:sz w:val="20"/>
                <w:szCs w:val="20"/>
                <w:lang w:eastAsia="de-DE"/>
              </w:rPr>
              <w:t>freie Parteiengründung (Art. 21)</w:t>
            </w:r>
          </w:p>
          <w:p w14:paraId="15388EEF" w14:textId="77777777" w:rsidR="007C5D8E" w:rsidRDefault="007C5D8E" w:rsidP="009A455B">
            <w:pPr>
              <w:pStyle w:val="KeinLeerraum"/>
              <w:numPr>
                <w:ilvl w:val="0"/>
                <w:numId w:val="9"/>
              </w:numPr>
              <w:rPr>
                <w:rFonts w:ascii="Verdana" w:hAnsi="Verdana"/>
                <w:sz w:val="20"/>
                <w:szCs w:val="20"/>
                <w:lang w:eastAsia="de-DE"/>
              </w:rPr>
            </w:pPr>
            <w:r>
              <w:rPr>
                <w:rFonts w:ascii="Verdana" w:hAnsi="Verdana"/>
                <w:sz w:val="20"/>
                <w:szCs w:val="20"/>
                <w:lang w:eastAsia="de-DE"/>
              </w:rPr>
              <w:t>Recht auf Zugang zu öffentlichen Ämtern (Art. 33)</w:t>
            </w:r>
          </w:p>
          <w:p w14:paraId="35D01A87" w14:textId="77777777" w:rsidR="007C5D8E" w:rsidRDefault="007C5D8E" w:rsidP="009A455B">
            <w:pPr>
              <w:pStyle w:val="KeinLeerraum"/>
              <w:numPr>
                <w:ilvl w:val="0"/>
                <w:numId w:val="9"/>
              </w:numPr>
              <w:rPr>
                <w:rFonts w:ascii="Verdana" w:hAnsi="Verdana"/>
                <w:sz w:val="20"/>
                <w:szCs w:val="20"/>
                <w:lang w:eastAsia="de-DE"/>
              </w:rPr>
            </w:pPr>
            <w:r>
              <w:rPr>
                <w:rFonts w:ascii="Verdana" w:hAnsi="Verdana"/>
                <w:sz w:val="20"/>
                <w:szCs w:val="20"/>
                <w:lang w:eastAsia="de-DE"/>
              </w:rPr>
              <w:t>Wahlrecht (Art. 38)</w:t>
            </w:r>
          </w:p>
          <w:p w14:paraId="0B966D43" w14:textId="77777777" w:rsidR="007C5D8E" w:rsidRDefault="007C5D8E" w:rsidP="009A455B">
            <w:pPr>
              <w:pStyle w:val="KeinLeerraum"/>
              <w:numPr>
                <w:ilvl w:val="0"/>
                <w:numId w:val="9"/>
              </w:numPr>
              <w:rPr>
                <w:rFonts w:ascii="Verdana" w:hAnsi="Verdana"/>
                <w:sz w:val="20"/>
                <w:szCs w:val="20"/>
                <w:lang w:eastAsia="de-DE"/>
              </w:rPr>
            </w:pPr>
            <w:r>
              <w:rPr>
                <w:rFonts w:ascii="Verdana" w:hAnsi="Verdana"/>
                <w:sz w:val="20"/>
                <w:szCs w:val="20"/>
                <w:lang w:eastAsia="de-DE"/>
              </w:rPr>
              <w:t>Recht auf gesetzlichen Richter (Art. 101)</w:t>
            </w:r>
          </w:p>
          <w:p w14:paraId="24EA4A01" w14:textId="77777777" w:rsidR="007C5D8E" w:rsidRDefault="007C5D8E" w:rsidP="009A455B">
            <w:pPr>
              <w:pStyle w:val="KeinLeerraum"/>
              <w:numPr>
                <w:ilvl w:val="0"/>
                <w:numId w:val="9"/>
              </w:numPr>
              <w:rPr>
                <w:rFonts w:ascii="Verdana" w:hAnsi="Verdana"/>
                <w:sz w:val="20"/>
                <w:szCs w:val="20"/>
                <w:lang w:eastAsia="de-DE"/>
              </w:rPr>
            </w:pPr>
            <w:r>
              <w:rPr>
                <w:rFonts w:ascii="Verdana" w:hAnsi="Verdana"/>
                <w:sz w:val="20"/>
                <w:szCs w:val="20"/>
                <w:lang w:eastAsia="de-DE"/>
              </w:rPr>
              <w:t>Anspruch auf rechtliches Gehör vor Gericht (Art. 103)</w:t>
            </w:r>
          </w:p>
          <w:p w14:paraId="4B25D7B6" w14:textId="77777777" w:rsidR="007C5D8E" w:rsidRPr="007C5D8E" w:rsidRDefault="007C5D8E" w:rsidP="009A455B">
            <w:pPr>
              <w:pStyle w:val="KeinLeerraum"/>
              <w:numPr>
                <w:ilvl w:val="0"/>
                <w:numId w:val="9"/>
              </w:numPr>
              <w:rPr>
                <w:rFonts w:ascii="Verdana" w:hAnsi="Verdana"/>
                <w:sz w:val="20"/>
                <w:szCs w:val="20"/>
                <w:lang w:eastAsia="de-DE"/>
              </w:rPr>
            </w:pPr>
            <w:r>
              <w:rPr>
                <w:rFonts w:ascii="Verdana" w:hAnsi="Verdana"/>
                <w:sz w:val="20"/>
                <w:szCs w:val="20"/>
                <w:lang w:eastAsia="de-DE"/>
              </w:rPr>
              <w:t>Schutz vor willkürlicher Verhaftung (Art. 104)</w:t>
            </w:r>
          </w:p>
        </w:tc>
      </w:tr>
    </w:tbl>
    <w:p w14:paraId="58CF1F7E" w14:textId="77777777" w:rsidR="00894EFE" w:rsidRDefault="00894EFE" w:rsidP="00041E7B">
      <w:pPr>
        <w:pStyle w:val="KeinLeerraum"/>
        <w:rPr>
          <w:rFonts w:ascii="Verdana" w:hAnsi="Verdana"/>
          <w:szCs w:val="20"/>
          <w:lang w:eastAsia="de-DE"/>
        </w:rPr>
      </w:pPr>
    </w:p>
    <w:p w14:paraId="1CF7F852" w14:textId="77777777" w:rsidR="00FC4AD7" w:rsidRDefault="00BE53D0" w:rsidP="00041E7B">
      <w:pPr>
        <w:pStyle w:val="KeinLeerraum"/>
        <w:rPr>
          <w:i/>
          <w:sz w:val="16"/>
        </w:rPr>
      </w:pPr>
      <w:r w:rsidRPr="00960328">
        <w:rPr>
          <w:rFonts w:ascii="Verdana" w:eastAsia="Times New Roman" w:hAnsi="Verdana" w:cs="Times New Roman"/>
          <w:sz w:val="13"/>
          <w:lang w:eastAsia="de-DE"/>
        </w:rPr>
        <w:t xml:space="preserve">Quelle: </w:t>
      </w:r>
      <w:r w:rsidRPr="00925761">
        <w:rPr>
          <w:i/>
          <w:sz w:val="16"/>
        </w:rPr>
        <w:t>„Zur Sache: Sozialkunde. Politik und Sozialkunde für berufliche Schulen</w:t>
      </w:r>
      <w:r>
        <w:rPr>
          <w:i/>
          <w:sz w:val="16"/>
        </w:rPr>
        <w:t>“</w:t>
      </w:r>
      <w:r w:rsidRPr="00925761">
        <w:rPr>
          <w:i/>
          <w:sz w:val="16"/>
        </w:rPr>
        <w:t xml:space="preserve">. </w:t>
      </w:r>
      <w:r>
        <w:rPr>
          <w:i/>
          <w:sz w:val="16"/>
        </w:rPr>
        <w:t xml:space="preserve">Cornelsen, </w:t>
      </w:r>
      <w:r w:rsidRPr="00925761">
        <w:rPr>
          <w:i/>
          <w:sz w:val="16"/>
        </w:rPr>
        <w:t xml:space="preserve">2012. S. </w:t>
      </w:r>
      <w:r>
        <w:rPr>
          <w:i/>
          <w:sz w:val="16"/>
        </w:rPr>
        <w:t>1</w:t>
      </w:r>
      <w:r w:rsidR="00D511AA">
        <w:rPr>
          <w:i/>
          <w:sz w:val="16"/>
        </w:rPr>
        <w:t>36</w:t>
      </w:r>
      <w:r>
        <w:rPr>
          <w:i/>
          <w:sz w:val="16"/>
        </w:rPr>
        <w:t>f.</w:t>
      </w:r>
    </w:p>
    <w:p w14:paraId="3656390E" w14:textId="77777777" w:rsidR="00E63D37" w:rsidRDefault="00E63D37" w:rsidP="003A1BC3">
      <w:pPr>
        <w:rPr>
          <w:rFonts w:ascii="Verdana" w:hAnsi="Verdana"/>
          <w:b/>
          <w:sz w:val="22"/>
          <w:u w:val="single"/>
        </w:rPr>
      </w:pPr>
    </w:p>
    <w:sectPr w:rsidR="00E63D37" w:rsidSect="00903220">
      <w:pgSz w:w="11900" w:h="16840"/>
      <w:pgMar w:top="851"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FC860" w14:textId="77777777" w:rsidR="00A63DA8" w:rsidRDefault="00A63DA8" w:rsidP="00432AE4">
      <w:r>
        <w:separator/>
      </w:r>
    </w:p>
  </w:endnote>
  <w:endnote w:type="continuationSeparator" w:id="0">
    <w:p w14:paraId="42A044E8" w14:textId="77777777" w:rsidR="00A63DA8" w:rsidRDefault="00A63DA8" w:rsidP="00432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BD4975" w14:textId="77777777" w:rsidR="00A63DA8" w:rsidRDefault="00A63DA8" w:rsidP="00432AE4">
      <w:r>
        <w:separator/>
      </w:r>
    </w:p>
  </w:footnote>
  <w:footnote w:type="continuationSeparator" w:id="0">
    <w:p w14:paraId="15FCA61F" w14:textId="77777777" w:rsidR="00A63DA8" w:rsidRDefault="00A63DA8" w:rsidP="00432AE4">
      <w:r>
        <w:continuationSeparator/>
      </w:r>
    </w:p>
  </w:footnote>
  <w:footnote w:id="1">
    <w:p w14:paraId="435484DD" w14:textId="77777777" w:rsidR="00AF2669" w:rsidRDefault="00AF2669">
      <w:pPr>
        <w:pStyle w:val="Funotentext"/>
      </w:pPr>
      <w:r>
        <w:rPr>
          <w:rStyle w:val="Funotenzeichen"/>
        </w:rPr>
        <w:footnoteRef/>
      </w:r>
      <w:r>
        <w:t xml:space="preserve"> Parlamentarischer Rat: Versammlung aus 65 Mitgliedern, die von den 11 westdeutschen Ländern delegiert wurden. Er trat am 01.09.1948 zusammen und verabschiedete am 08.05.1949 das Grundgesetz.</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E5EE5"/>
    <w:multiLevelType w:val="hybridMultilevel"/>
    <w:tmpl w:val="A56E11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3E5D4A"/>
    <w:multiLevelType w:val="hybridMultilevel"/>
    <w:tmpl w:val="310E6D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9546042"/>
    <w:multiLevelType w:val="hybridMultilevel"/>
    <w:tmpl w:val="EEF49D74"/>
    <w:lvl w:ilvl="0" w:tplc="97F62B06">
      <w:numFmt w:val="bullet"/>
      <w:lvlText w:val="-"/>
      <w:lvlJc w:val="left"/>
      <w:pPr>
        <w:ind w:left="720" w:hanging="360"/>
      </w:pPr>
      <w:rPr>
        <w:rFonts w:ascii="Calibri" w:eastAsiaTheme="minorHAnsi" w:hAnsi="Calibri" w:cstheme="minorBidi"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ED3392"/>
    <w:multiLevelType w:val="hybridMultilevel"/>
    <w:tmpl w:val="FFFFFFFF"/>
    <w:lvl w:ilvl="0" w:tplc="53AA26F8">
      <w:start w:val="1"/>
      <w:numFmt w:val="bullet"/>
      <w:lvlText w:val="•"/>
      <w:lvlJc w:val="left"/>
      <w:pPr>
        <w:ind w:left="504"/>
      </w:pPr>
      <w:rPr>
        <w:rFonts w:ascii="Times New Roman" w:eastAsia="Times New Roman" w:hAnsi="Times New Roman" w:cs="Times New Roman"/>
        <w:b w:val="0"/>
        <w:i w:val="0"/>
        <w:strike w:val="0"/>
        <w:dstrike w:val="0"/>
        <w:color w:val="000000"/>
        <w:sz w:val="68"/>
        <w:szCs w:val="68"/>
        <w:u w:val="none" w:color="000000"/>
        <w:bdr w:val="none" w:sz="0" w:space="0" w:color="auto"/>
        <w:shd w:val="clear" w:color="auto" w:fill="auto"/>
        <w:vertAlign w:val="baseline"/>
      </w:rPr>
    </w:lvl>
    <w:lvl w:ilvl="1" w:tplc="55A4DA34">
      <w:start w:val="1"/>
      <w:numFmt w:val="bullet"/>
      <w:lvlText w:val="o"/>
      <w:lvlJc w:val="left"/>
      <w:pPr>
        <w:ind w:left="1107"/>
      </w:pPr>
      <w:rPr>
        <w:rFonts w:ascii="Times New Roman" w:eastAsia="Times New Roman" w:hAnsi="Times New Roman" w:cs="Times New Roman"/>
        <w:b w:val="0"/>
        <w:i w:val="0"/>
        <w:strike w:val="0"/>
        <w:dstrike w:val="0"/>
        <w:color w:val="000000"/>
        <w:sz w:val="68"/>
        <w:szCs w:val="68"/>
        <w:u w:val="none" w:color="000000"/>
        <w:bdr w:val="none" w:sz="0" w:space="0" w:color="auto"/>
        <w:shd w:val="clear" w:color="auto" w:fill="auto"/>
        <w:vertAlign w:val="baseline"/>
      </w:rPr>
    </w:lvl>
    <w:lvl w:ilvl="2" w:tplc="759C5BA4">
      <w:start w:val="1"/>
      <w:numFmt w:val="bullet"/>
      <w:lvlText w:val="▪"/>
      <w:lvlJc w:val="left"/>
      <w:pPr>
        <w:ind w:left="1827"/>
      </w:pPr>
      <w:rPr>
        <w:rFonts w:ascii="Times New Roman" w:eastAsia="Times New Roman" w:hAnsi="Times New Roman" w:cs="Times New Roman"/>
        <w:b w:val="0"/>
        <w:i w:val="0"/>
        <w:strike w:val="0"/>
        <w:dstrike w:val="0"/>
        <w:color w:val="000000"/>
        <w:sz w:val="68"/>
        <w:szCs w:val="68"/>
        <w:u w:val="none" w:color="000000"/>
        <w:bdr w:val="none" w:sz="0" w:space="0" w:color="auto"/>
        <w:shd w:val="clear" w:color="auto" w:fill="auto"/>
        <w:vertAlign w:val="baseline"/>
      </w:rPr>
    </w:lvl>
    <w:lvl w:ilvl="3" w:tplc="30E056BC">
      <w:start w:val="1"/>
      <w:numFmt w:val="bullet"/>
      <w:lvlText w:val="•"/>
      <w:lvlJc w:val="left"/>
      <w:pPr>
        <w:ind w:left="2547"/>
      </w:pPr>
      <w:rPr>
        <w:rFonts w:ascii="Times New Roman" w:eastAsia="Times New Roman" w:hAnsi="Times New Roman" w:cs="Times New Roman"/>
        <w:b w:val="0"/>
        <w:i w:val="0"/>
        <w:strike w:val="0"/>
        <w:dstrike w:val="0"/>
        <w:color w:val="000000"/>
        <w:sz w:val="68"/>
        <w:szCs w:val="68"/>
        <w:u w:val="none" w:color="000000"/>
        <w:bdr w:val="none" w:sz="0" w:space="0" w:color="auto"/>
        <w:shd w:val="clear" w:color="auto" w:fill="auto"/>
        <w:vertAlign w:val="baseline"/>
      </w:rPr>
    </w:lvl>
    <w:lvl w:ilvl="4" w:tplc="0218D24C">
      <w:start w:val="1"/>
      <w:numFmt w:val="bullet"/>
      <w:lvlText w:val="o"/>
      <w:lvlJc w:val="left"/>
      <w:pPr>
        <w:ind w:left="3267"/>
      </w:pPr>
      <w:rPr>
        <w:rFonts w:ascii="Times New Roman" w:eastAsia="Times New Roman" w:hAnsi="Times New Roman" w:cs="Times New Roman"/>
        <w:b w:val="0"/>
        <w:i w:val="0"/>
        <w:strike w:val="0"/>
        <w:dstrike w:val="0"/>
        <w:color w:val="000000"/>
        <w:sz w:val="68"/>
        <w:szCs w:val="68"/>
        <w:u w:val="none" w:color="000000"/>
        <w:bdr w:val="none" w:sz="0" w:space="0" w:color="auto"/>
        <w:shd w:val="clear" w:color="auto" w:fill="auto"/>
        <w:vertAlign w:val="baseline"/>
      </w:rPr>
    </w:lvl>
    <w:lvl w:ilvl="5" w:tplc="44A49FEC">
      <w:start w:val="1"/>
      <w:numFmt w:val="bullet"/>
      <w:lvlText w:val="▪"/>
      <w:lvlJc w:val="left"/>
      <w:pPr>
        <w:ind w:left="3987"/>
      </w:pPr>
      <w:rPr>
        <w:rFonts w:ascii="Times New Roman" w:eastAsia="Times New Roman" w:hAnsi="Times New Roman" w:cs="Times New Roman"/>
        <w:b w:val="0"/>
        <w:i w:val="0"/>
        <w:strike w:val="0"/>
        <w:dstrike w:val="0"/>
        <w:color w:val="000000"/>
        <w:sz w:val="68"/>
        <w:szCs w:val="68"/>
        <w:u w:val="none" w:color="000000"/>
        <w:bdr w:val="none" w:sz="0" w:space="0" w:color="auto"/>
        <w:shd w:val="clear" w:color="auto" w:fill="auto"/>
        <w:vertAlign w:val="baseline"/>
      </w:rPr>
    </w:lvl>
    <w:lvl w:ilvl="6" w:tplc="AA54F40A">
      <w:start w:val="1"/>
      <w:numFmt w:val="bullet"/>
      <w:lvlText w:val="•"/>
      <w:lvlJc w:val="left"/>
      <w:pPr>
        <w:ind w:left="4707"/>
      </w:pPr>
      <w:rPr>
        <w:rFonts w:ascii="Times New Roman" w:eastAsia="Times New Roman" w:hAnsi="Times New Roman" w:cs="Times New Roman"/>
        <w:b w:val="0"/>
        <w:i w:val="0"/>
        <w:strike w:val="0"/>
        <w:dstrike w:val="0"/>
        <w:color w:val="000000"/>
        <w:sz w:val="68"/>
        <w:szCs w:val="68"/>
        <w:u w:val="none" w:color="000000"/>
        <w:bdr w:val="none" w:sz="0" w:space="0" w:color="auto"/>
        <w:shd w:val="clear" w:color="auto" w:fill="auto"/>
        <w:vertAlign w:val="baseline"/>
      </w:rPr>
    </w:lvl>
    <w:lvl w:ilvl="7" w:tplc="C2C6E290">
      <w:start w:val="1"/>
      <w:numFmt w:val="bullet"/>
      <w:lvlText w:val="o"/>
      <w:lvlJc w:val="left"/>
      <w:pPr>
        <w:ind w:left="5427"/>
      </w:pPr>
      <w:rPr>
        <w:rFonts w:ascii="Times New Roman" w:eastAsia="Times New Roman" w:hAnsi="Times New Roman" w:cs="Times New Roman"/>
        <w:b w:val="0"/>
        <w:i w:val="0"/>
        <w:strike w:val="0"/>
        <w:dstrike w:val="0"/>
        <w:color w:val="000000"/>
        <w:sz w:val="68"/>
        <w:szCs w:val="68"/>
        <w:u w:val="none" w:color="000000"/>
        <w:bdr w:val="none" w:sz="0" w:space="0" w:color="auto"/>
        <w:shd w:val="clear" w:color="auto" w:fill="auto"/>
        <w:vertAlign w:val="baseline"/>
      </w:rPr>
    </w:lvl>
    <w:lvl w:ilvl="8" w:tplc="373ED0CA">
      <w:start w:val="1"/>
      <w:numFmt w:val="bullet"/>
      <w:lvlText w:val="▪"/>
      <w:lvlJc w:val="left"/>
      <w:pPr>
        <w:ind w:left="6147"/>
      </w:pPr>
      <w:rPr>
        <w:rFonts w:ascii="Times New Roman" w:eastAsia="Times New Roman" w:hAnsi="Times New Roman" w:cs="Times New Roman"/>
        <w:b w:val="0"/>
        <w:i w:val="0"/>
        <w:strike w:val="0"/>
        <w:dstrike w:val="0"/>
        <w:color w:val="000000"/>
        <w:sz w:val="68"/>
        <w:szCs w:val="68"/>
        <w:u w:val="none" w:color="000000"/>
        <w:bdr w:val="none" w:sz="0" w:space="0" w:color="auto"/>
        <w:shd w:val="clear" w:color="auto" w:fill="auto"/>
        <w:vertAlign w:val="baseline"/>
      </w:rPr>
    </w:lvl>
  </w:abstractNum>
  <w:abstractNum w:abstractNumId="4" w15:restartNumberingAfterBreak="0">
    <w:nsid w:val="2A0C423B"/>
    <w:multiLevelType w:val="hybridMultilevel"/>
    <w:tmpl w:val="FF02B576"/>
    <w:lvl w:ilvl="0" w:tplc="E29E5038">
      <w:start w:val="3"/>
      <w:numFmt w:val="bullet"/>
      <w:lvlText w:val="-"/>
      <w:lvlJc w:val="left"/>
      <w:pPr>
        <w:ind w:left="720" w:hanging="360"/>
      </w:pPr>
      <w:rPr>
        <w:rFonts w:ascii="Verdana" w:eastAsiaTheme="minorHAnsi" w:hAnsi="Verdana" w:cs="Vrind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D2A6BBA"/>
    <w:multiLevelType w:val="hybridMultilevel"/>
    <w:tmpl w:val="E0362026"/>
    <w:lvl w:ilvl="0" w:tplc="0B16AC7E">
      <w:numFmt w:val="bullet"/>
      <w:lvlText w:val="-"/>
      <w:lvlJc w:val="left"/>
      <w:pPr>
        <w:ind w:left="720" w:hanging="360"/>
      </w:pPr>
      <w:rPr>
        <w:rFonts w:ascii="Verdana" w:eastAsiaTheme="minorHAnsi"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61E5174"/>
    <w:multiLevelType w:val="hybridMultilevel"/>
    <w:tmpl w:val="FFFFFFFF"/>
    <w:lvl w:ilvl="0" w:tplc="47783644">
      <w:start w:val="1"/>
      <w:numFmt w:val="bullet"/>
      <w:lvlText w:val="•"/>
      <w:lvlJc w:val="left"/>
      <w:pPr>
        <w:ind w:left="542"/>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1" w:tplc="55CCCA4C">
      <w:start w:val="1"/>
      <w:numFmt w:val="bullet"/>
      <w:lvlText w:val="o"/>
      <w:lvlJc w:val="left"/>
      <w:pPr>
        <w:ind w:left="1346"/>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2" w:tplc="7676EA30">
      <w:start w:val="1"/>
      <w:numFmt w:val="bullet"/>
      <w:lvlText w:val="▪"/>
      <w:lvlJc w:val="left"/>
      <w:pPr>
        <w:ind w:left="2066"/>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3" w:tplc="F11AFA60">
      <w:start w:val="1"/>
      <w:numFmt w:val="bullet"/>
      <w:lvlText w:val="•"/>
      <w:lvlJc w:val="left"/>
      <w:pPr>
        <w:ind w:left="2786"/>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4" w:tplc="FECA44E6">
      <w:start w:val="1"/>
      <w:numFmt w:val="bullet"/>
      <w:lvlText w:val="o"/>
      <w:lvlJc w:val="left"/>
      <w:pPr>
        <w:ind w:left="3506"/>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5" w:tplc="A0FC50FC">
      <w:start w:val="1"/>
      <w:numFmt w:val="bullet"/>
      <w:lvlText w:val="▪"/>
      <w:lvlJc w:val="left"/>
      <w:pPr>
        <w:ind w:left="4226"/>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6" w:tplc="2C2CDC36">
      <w:start w:val="1"/>
      <w:numFmt w:val="bullet"/>
      <w:lvlText w:val="•"/>
      <w:lvlJc w:val="left"/>
      <w:pPr>
        <w:ind w:left="4946"/>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7" w:tplc="C2667434">
      <w:start w:val="1"/>
      <w:numFmt w:val="bullet"/>
      <w:lvlText w:val="o"/>
      <w:lvlJc w:val="left"/>
      <w:pPr>
        <w:ind w:left="5666"/>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lvl w:ilvl="8" w:tplc="76147BE4">
      <w:start w:val="1"/>
      <w:numFmt w:val="bullet"/>
      <w:lvlText w:val="▪"/>
      <w:lvlJc w:val="left"/>
      <w:pPr>
        <w:ind w:left="6386"/>
      </w:pPr>
      <w:rPr>
        <w:rFonts w:ascii="Times New Roman" w:eastAsia="Times New Roman" w:hAnsi="Times New Roman" w:cs="Times New Roman"/>
        <w:b w:val="0"/>
        <w:i w:val="0"/>
        <w:strike w:val="0"/>
        <w:dstrike w:val="0"/>
        <w:color w:val="000000"/>
        <w:sz w:val="56"/>
        <w:szCs w:val="56"/>
        <w:u w:val="none" w:color="000000"/>
        <w:bdr w:val="none" w:sz="0" w:space="0" w:color="auto"/>
        <w:shd w:val="clear" w:color="auto" w:fill="auto"/>
        <w:vertAlign w:val="baseline"/>
      </w:rPr>
    </w:lvl>
  </w:abstractNum>
  <w:abstractNum w:abstractNumId="7" w15:restartNumberingAfterBreak="0">
    <w:nsid w:val="398732CC"/>
    <w:multiLevelType w:val="hybridMultilevel"/>
    <w:tmpl w:val="6778F5AC"/>
    <w:lvl w:ilvl="0" w:tplc="337A1538">
      <w:start w:val="26"/>
      <w:numFmt w:val="bullet"/>
      <w:lvlText w:val="-"/>
      <w:lvlJc w:val="left"/>
      <w:pPr>
        <w:ind w:left="374" w:hanging="360"/>
      </w:pPr>
      <w:rPr>
        <w:rFonts w:ascii="Verdana" w:eastAsiaTheme="minorHAnsi" w:hAnsi="Verdana" w:cstheme="minorBidi" w:hint="default"/>
      </w:rPr>
    </w:lvl>
    <w:lvl w:ilvl="1" w:tplc="04070003" w:tentative="1">
      <w:start w:val="1"/>
      <w:numFmt w:val="bullet"/>
      <w:lvlText w:val="o"/>
      <w:lvlJc w:val="left"/>
      <w:pPr>
        <w:ind w:left="1094" w:hanging="360"/>
      </w:pPr>
      <w:rPr>
        <w:rFonts w:ascii="Courier New" w:hAnsi="Courier New" w:cs="Courier New" w:hint="default"/>
      </w:rPr>
    </w:lvl>
    <w:lvl w:ilvl="2" w:tplc="04070005" w:tentative="1">
      <w:start w:val="1"/>
      <w:numFmt w:val="bullet"/>
      <w:lvlText w:val=""/>
      <w:lvlJc w:val="left"/>
      <w:pPr>
        <w:ind w:left="1814" w:hanging="360"/>
      </w:pPr>
      <w:rPr>
        <w:rFonts w:ascii="Wingdings" w:hAnsi="Wingdings" w:hint="default"/>
      </w:rPr>
    </w:lvl>
    <w:lvl w:ilvl="3" w:tplc="04070001" w:tentative="1">
      <w:start w:val="1"/>
      <w:numFmt w:val="bullet"/>
      <w:lvlText w:val=""/>
      <w:lvlJc w:val="left"/>
      <w:pPr>
        <w:ind w:left="2534" w:hanging="360"/>
      </w:pPr>
      <w:rPr>
        <w:rFonts w:ascii="Symbol" w:hAnsi="Symbol" w:hint="default"/>
      </w:rPr>
    </w:lvl>
    <w:lvl w:ilvl="4" w:tplc="04070003" w:tentative="1">
      <w:start w:val="1"/>
      <w:numFmt w:val="bullet"/>
      <w:lvlText w:val="o"/>
      <w:lvlJc w:val="left"/>
      <w:pPr>
        <w:ind w:left="3254" w:hanging="360"/>
      </w:pPr>
      <w:rPr>
        <w:rFonts w:ascii="Courier New" w:hAnsi="Courier New" w:cs="Courier New" w:hint="default"/>
      </w:rPr>
    </w:lvl>
    <w:lvl w:ilvl="5" w:tplc="04070005" w:tentative="1">
      <w:start w:val="1"/>
      <w:numFmt w:val="bullet"/>
      <w:lvlText w:val=""/>
      <w:lvlJc w:val="left"/>
      <w:pPr>
        <w:ind w:left="3974" w:hanging="360"/>
      </w:pPr>
      <w:rPr>
        <w:rFonts w:ascii="Wingdings" w:hAnsi="Wingdings" w:hint="default"/>
      </w:rPr>
    </w:lvl>
    <w:lvl w:ilvl="6" w:tplc="04070001" w:tentative="1">
      <w:start w:val="1"/>
      <w:numFmt w:val="bullet"/>
      <w:lvlText w:val=""/>
      <w:lvlJc w:val="left"/>
      <w:pPr>
        <w:ind w:left="4694" w:hanging="360"/>
      </w:pPr>
      <w:rPr>
        <w:rFonts w:ascii="Symbol" w:hAnsi="Symbol" w:hint="default"/>
      </w:rPr>
    </w:lvl>
    <w:lvl w:ilvl="7" w:tplc="04070003" w:tentative="1">
      <w:start w:val="1"/>
      <w:numFmt w:val="bullet"/>
      <w:lvlText w:val="o"/>
      <w:lvlJc w:val="left"/>
      <w:pPr>
        <w:ind w:left="5414" w:hanging="360"/>
      </w:pPr>
      <w:rPr>
        <w:rFonts w:ascii="Courier New" w:hAnsi="Courier New" w:cs="Courier New" w:hint="default"/>
      </w:rPr>
    </w:lvl>
    <w:lvl w:ilvl="8" w:tplc="04070005" w:tentative="1">
      <w:start w:val="1"/>
      <w:numFmt w:val="bullet"/>
      <w:lvlText w:val=""/>
      <w:lvlJc w:val="left"/>
      <w:pPr>
        <w:ind w:left="6134" w:hanging="360"/>
      </w:pPr>
      <w:rPr>
        <w:rFonts w:ascii="Wingdings" w:hAnsi="Wingdings" w:hint="default"/>
      </w:rPr>
    </w:lvl>
  </w:abstractNum>
  <w:abstractNum w:abstractNumId="8" w15:restartNumberingAfterBreak="0">
    <w:nsid w:val="4A932881"/>
    <w:multiLevelType w:val="hybridMultilevel"/>
    <w:tmpl w:val="3FC271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42133E7"/>
    <w:multiLevelType w:val="hybridMultilevel"/>
    <w:tmpl w:val="E65AA4D6"/>
    <w:lvl w:ilvl="0" w:tplc="22B860AA">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FBE00B1"/>
    <w:multiLevelType w:val="hybridMultilevel"/>
    <w:tmpl w:val="7BB429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9"/>
  </w:num>
  <w:num w:numId="4">
    <w:abstractNumId w:val="6"/>
  </w:num>
  <w:num w:numId="5">
    <w:abstractNumId w:val="0"/>
  </w:num>
  <w:num w:numId="6">
    <w:abstractNumId w:val="3"/>
  </w:num>
  <w:num w:numId="7">
    <w:abstractNumId w:val="7"/>
  </w:num>
  <w:num w:numId="8">
    <w:abstractNumId w:val="8"/>
  </w:num>
  <w:num w:numId="9">
    <w:abstractNumId w:val="4"/>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220"/>
    <w:rsid w:val="00021597"/>
    <w:rsid w:val="00034075"/>
    <w:rsid w:val="00036966"/>
    <w:rsid w:val="00041E7B"/>
    <w:rsid w:val="000770BB"/>
    <w:rsid w:val="000F2C5A"/>
    <w:rsid w:val="001122AE"/>
    <w:rsid w:val="00113717"/>
    <w:rsid w:val="00126DE6"/>
    <w:rsid w:val="00151568"/>
    <w:rsid w:val="0015571A"/>
    <w:rsid w:val="00165AF0"/>
    <w:rsid w:val="001802A3"/>
    <w:rsid w:val="00183CDA"/>
    <w:rsid w:val="00191D08"/>
    <w:rsid w:val="001B300F"/>
    <w:rsid w:val="001C03AF"/>
    <w:rsid w:val="001D722F"/>
    <w:rsid w:val="001E3F34"/>
    <w:rsid w:val="001E5EA2"/>
    <w:rsid w:val="00223283"/>
    <w:rsid w:val="002953BC"/>
    <w:rsid w:val="002B67BB"/>
    <w:rsid w:val="002B6B86"/>
    <w:rsid w:val="00306C36"/>
    <w:rsid w:val="00331D5B"/>
    <w:rsid w:val="0035184C"/>
    <w:rsid w:val="00360DE3"/>
    <w:rsid w:val="003A1BC3"/>
    <w:rsid w:val="003A7E48"/>
    <w:rsid w:val="00401AA4"/>
    <w:rsid w:val="004026B5"/>
    <w:rsid w:val="004145DC"/>
    <w:rsid w:val="00420D59"/>
    <w:rsid w:val="00432AE4"/>
    <w:rsid w:val="00472BB9"/>
    <w:rsid w:val="00501DE0"/>
    <w:rsid w:val="00537166"/>
    <w:rsid w:val="00540304"/>
    <w:rsid w:val="00546F03"/>
    <w:rsid w:val="0056444C"/>
    <w:rsid w:val="00593AF9"/>
    <w:rsid w:val="005B29E2"/>
    <w:rsid w:val="005B3559"/>
    <w:rsid w:val="005F17DC"/>
    <w:rsid w:val="00620EAA"/>
    <w:rsid w:val="006748A7"/>
    <w:rsid w:val="006A0FC2"/>
    <w:rsid w:val="006A6503"/>
    <w:rsid w:val="006D0974"/>
    <w:rsid w:val="007348D4"/>
    <w:rsid w:val="0074713C"/>
    <w:rsid w:val="0075788D"/>
    <w:rsid w:val="007B2336"/>
    <w:rsid w:val="007C5D8E"/>
    <w:rsid w:val="007D57D6"/>
    <w:rsid w:val="007F0A5C"/>
    <w:rsid w:val="007F346D"/>
    <w:rsid w:val="007F61FD"/>
    <w:rsid w:val="008047AC"/>
    <w:rsid w:val="0081171E"/>
    <w:rsid w:val="008259E3"/>
    <w:rsid w:val="008408F8"/>
    <w:rsid w:val="00894EFE"/>
    <w:rsid w:val="0089673C"/>
    <w:rsid w:val="008E64CA"/>
    <w:rsid w:val="00903220"/>
    <w:rsid w:val="00925761"/>
    <w:rsid w:val="009319C4"/>
    <w:rsid w:val="00947A5D"/>
    <w:rsid w:val="00960328"/>
    <w:rsid w:val="0096283F"/>
    <w:rsid w:val="009D145C"/>
    <w:rsid w:val="00A63DA8"/>
    <w:rsid w:val="00A74028"/>
    <w:rsid w:val="00AA57DC"/>
    <w:rsid w:val="00AA598C"/>
    <w:rsid w:val="00AF2669"/>
    <w:rsid w:val="00B52B83"/>
    <w:rsid w:val="00B608D1"/>
    <w:rsid w:val="00B85DF1"/>
    <w:rsid w:val="00BA5775"/>
    <w:rsid w:val="00BD0072"/>
    <w:rsid w:val="00BE53D0"/>
    <w:rsid w:val="00C177CB"/>
    <w:rsid w:val="00C40BDA"/>
    <w:rsid w:val="00CB29D2"/>
    <w:rsid w:val="00CF3909"/>
    <w:rsid w:val="00CF7894"/>
    <w:rsid w:val="00D14E65"/>
    <w:rsid w:val="00D23DE7"/>
    <w:rsid w:val="00D3670D"/>
    <w:rsid w:val="00D511AA"/>
    <w:rsid w:val="00D811A4"/>
    <w:rsid w:val="00DC661C"/>
    <w:rsid w:val="00DE4E13"/>
    <w:rsid w:val="00DF020D"/>
    <w:rsid w:val="00DF6757"/>
    <w:rsid w:val="00E44818"/>
    <w:rsid w:val="00E63D37"/>
    <w:rsid w:val="00E7259F"/>
    <w:rsid w:val="00E923C1"/>
    <w:rsid w:val="00ED6D31"/>
    <w:rsid w:val="00F051BA"/>
    <w:rsid w:val="00F11A5E"/>
    <w:rsid w:val="00F30BD6"/>
    <w:rsid w:val="00F70AA3"/>
    <w:rsid w:val="00FC4AD7"/>
    <w:rsid w:val="00FE24A4"/>
    <w:rsid w:val="00FE327F"/>
    <w:rsid w:val="00FE49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15D4"/>
  <w15:chartTrackingRefBased/>
  <w15:docId w15:val="{4A64FF91-2B32-F640-AF93-39CC533E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next w:val="Standard"/>
    <w:link w:val="berschrift1Zchn"/>
    <w:uiPriority w:val="9"/>
    <w:qFormat/>
    <w:rsid w:val="00041E7B"/>
    <w:pPr>
      <w:keepNext/>
      <w:keepLines/>
      <w:spacing w:line="259" w:lineRule="auto"/>
      <w:ind w:left="100"/>
      <w:outlineLvl w:val="0"/>
    </w:pPr>
    <w:rPr>
      <w:rFonts w:ascii="Times New Roman" w:eastAsia="Times New Roman" w:hAnsi="Times New Roman" w:cs="Times New Roman"/>
      <w:color w:val="000000"/>
      <w:sz w:val="78"/>
      <w:szCs w:val="2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9032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03220"/>
    <w:pPr>
      <w:ind w:left="720"/>
      <w:contextualSpacing/>
    </w:pPr>
  </w:style>
  <w:style w:type="paragraph" w:styleId="Funotentext">
    <w:name w:val="footnote text"/>
    <w:basedOn w:val="Standard"/>
    <w:link w:val="FunotentextZchn"/>
    <w:uiPriority w:val="99"/>
    <w:semiHidden/>
    <w:unhideWhenUsed/>
    <w:rsid w:val="00432AE4"/>
    <w:rPr>
      <w:sz w:val="20"/>
      <w:szCs w:val="20"/>
    </w:rPr>
  </w:style>
  <w:style w:type="character" w:customStyle="1" w:styleId="FunotentextZchn">
    <w:name w:val="Fußnotentext Zchn"/>
    <w:basedOn w:val="Absatz-Standardschriftart"/>
    <w:link w:val="Funotentext"/>
    <w:uiPriority w:val="99"/>
    <w:semiHidden/>
    <w:rsid w:val="00432AE4"/>
    <w:rPr>
      <w:sz w:val="20"/>
      <w:szCs w:val="20"/>
    </w:rPr>
  </w:style>
  <w:style w:type="character" w:styleId="Funotenzeichen">
    <w:name w:val="footnote reference"/>
    <w:basedOn w:val="Absatz-Standardschriftart"/>
    <w:uiPriority w:val="99"/>
    <w:semiHidden/>
    <w:unhideWhenUsed/>
    <w:rsid w:val="00432AE4"/>
    <w:rPr>
      <w:vertAlign w:val="superscript"/>
    </w:rPr>
  </w:style>
  <w:style w:type="paragraph" w:styleId="KeinLeerraum">
    <w:name w:val="No Spacing"/>
    <w:uiPriority w:val="1"/>
    <w:qFormat/>
    <w:rsid w:val="00306C36"/>
    <w:rPr>
      <w:rFonts w:cs="Vrinda"/>
      <w:sz w:val="22"/>
      <w:szCs w:val="28"/>
      <w:lang w:bidi="bn-BD"/>
    </w:rPr>
  </w:style>
  <w:style w:type="character" w:customStyle="1" w:styleId="berschrift1Zchn">
    <w:name w:val="Überschrift 1 Zchn"/>
    <w:basedOn w:val="Absatz-Standardschriftart"/>
    <w:link w:val="berschrift1"/>
    <w:uiPriority w:val="9"/>
    <w:rsid w:val="00041E7B"/>
    <w:rPr>
      <w:rFonts w:ascii="Times New Roman" w:eastAsia="Times New Roman" w:hAnsi="Times New Roman" w:cs="Times New Roman"/>
      <w:color w:val="000000"/>
      <w:sz w:val="78"/>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1877">
      <w:bodyDiv w:val="1"/>
      <w:marLeft w:val="0"/>
      <w:marRight w:val="0"/>
      <w:marTop w:val="0"/>
      <w:marBottom w:val="0"/>
      <w:divBdr>
        <w:top w:val="none" w:sz="0" w:space="0" w:color="auto"/>
        <w:left w:val="none" w:sz="0" w:space="0" w:color="auto"/>
        <w:bottom w:val="none" w:sz="0" w:space="0" w:color="auto"/>
        <w:right w:val="none" w:sz="0" w:space="0" w:color="auto"/>
      </w:divBdr>
    </w:div>
    <w:div w:id="749037081">
      <w:bodyDiv w:val="1"/>
      <w:marLeft w:val="0"/>
      <w:marRight w:val="0"/>
      <w:marTop w:val="0"/>
      <w:marBottom w:val="0"/>
      <w:divBdr>
        <w:top w:val="none" w:sz="0" w:space="0" w:color="auto"/>
        <w:left w:val="none" w:sz="0" w:space="0" w:color="auto"/>
        <w:bottom w:val="none" w:sz="0" w:space="0" w:color="auto"/>
        <w:right w:val="none" w:sz="0" w:space="0" w:color="auto"/>
      </w:divBdr>
    </w:div>
    <w:div w:id="1042755159">
      <w:bodyDiv w:val="1"/>
      <w:marLeft w:val="0"/>
      <w:marRight w:val="0"/>
      <w:marTop w:val="0"/>
      <w:marBottom w:val="0"/>
      <w:divBdr>
        <w:top w:val="none" w:sz="0" w:space="0" w:color="auto"/>
        <w:left w:val="none" w:sz="0" w:space="0" w:color="auto"/>
        <w:bottom w:val="none" w:sz="0" w:space="0" w:color="auto"/>
        <w:right w:val="none" w:sz="0" w:space="0" w:color="auto"/>
      </w:divBdr>
    </w:div>
    <w:div w:id="1301888534">
      <w:bodyDiv w:val="1"/>
      <w:marLeft w:val="0"/>
      <w:marRight w:val="0"/>
      <w:marTop w:val="0"/>
      <w:marBottom w:val="0"/>
      <w:divBdr>
        <w:top w:val="none" w:sz="0" w:space="0" w:color="auto"/>
        <w:left w:val="none" w:sz="0" w:space="0" w:color="auto"/>
        <w:bottom w:val="none" w:sz="0" w:space="0" w:color="auto"/>
        <w:right w:val="none" w:sz="0" w:space="0" w:color="auto"/>
      </w:divBdr>
    </w:div>
    <w:div w:id="1778018523">
      <w:bodyDiv w:val="1"/>
      <w:marLeft w:val="0"/>
      <w:marRight w:val="0"/>
      <w:marTop w:val="0"/>
      <w:marBottom w:val="0"/>
      <w:divBdr>
        <w:top w:val="none" w:sz="0" w:space="0" w:color="auto"/>
        <w:left w:val="none" w:sz="0" w:space="0" w:color="auto"/>
        <w:bottom w:val="none" w:sz="0" w:space="0" w:color="auto"/>
        <w:right w:val="none" w:sz="0" w:space="0" w:color="auto"/>
      </w:divBdr>
    </w:div>
    <w:div w:id="1986007480">
      <w:bodyDiv w:val="1"/>
      <w:marLeft w:val="0"/>
      <w:marRight w:val="0"/>
      <w:marTop w:val="0"/>
      <w:marBottom w:val="0"/>
      <w:divBdr>
        <w:top w:val="none" w:sz="0" w:space="0" w:color="auto"/>
        <w:left w:val="none" w:sz="0" w:space="0" w:color="auto"/>
        <w:bottom w:val="none" w:sz="0" w:space="0" w:color="auto"/>
        <w:right w:val="none" w:sz="0" w:space="0" w:color="auto"/>
      </w:divBdr>
    </w:div>
    <w:div w:id="200304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customXml/item4.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7A9E6D63A99F9C43A02979B121C777EA" ma:contentTypeVersion="2" ma:contentTypeDescription="Ein neues Dokument erstellen." ma:contentTypeScope="" ma:versionID="51c7a4900754bdc00e396106a19c652d">
  <xsd:schema xmlns:xsd="http://www.w3.org/2001/XMLSchema" xmlns:xs="http://www.w3.org/2001/XMLSchema" xmlns:p="http://schemas.microsoft.com/office/2006/metadata/properties" xmlns:ns2="fc235c0e-72f3-44b5-b0da-fefce04bdbba" targetNamespace="http://schemas.microsoft.com/office/2006/metadata/properties" ma:root="true" ma:fieldsID="fffe7a3a6aa1e3c9b69faa3125cc4dbb" ns2:_="">
    <xsd:import namespace="fc235c0e-72f3-44b5-b0da-fefce04bdbb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235c0e-72f3-44b5-b0da-fefce04bdb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0548B5-9EA1-48D7-BCE9-E7277947433C}">
  <ds:schemaRefs>
    <ds:schemaRef ds:uri="http://schemas.openxmlformats.org/officeDocument/2006/bibliography"/>
  </ds:schemaRefs>
</ds:datastoreItem>
</file>

<file path=customXml/itemProps2.xml><?xml version="1.0" encoding="utf-8"?>
<ds:datastoreItem xmlns:ds="http://schemas.openxmlformats.org/officeDocument/2006/customXml" ds:itemID="{3B7F2BFF-212F-4D48-91DB-D9CDBEE1ED0A}"/>
</file>

<file path=customXml/itemProps3.xml><?xml version="1.0" encoding="utf-8"?>
<ds:datastoreItem xmlns:ds="http://schemas.openxmlformats.org/officeDocument/2006/customXml" ds:itemID="{41C8671F-C6A9-4644-BF4D-490ADE4C9053}"/>
</file>

<file path=customXml/itemProps4.xml><?xml version="1.0" encoding="utf-8"?>
<ds:datastoreItem xmlns:ds="http://schemas.openxmlformats.org/officeDocument/2006/customXml" ds:itemID="{663FC6FA-FAAF-4A7B-9629-650E7EC44A6A}"/>
</file>

<file path=docProps/app.xml><?xml version="1.0" encoding="utf-8"?>
<Properties xmlns="http://schemas.openxmlformats.org/officeDocument/2006/extended-properties" xmlns:vt="http://schemas.openxmlformats.org/officeDocument/2006/docPropsVTypes">
  <Template>Normal</Template>
  <TotalTime>0</TotalTime>
  <Pages>2</Pages>
  <Words>731</Words>
  <Characters>4609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Veronika Horn</cp:lastModifiedBy>
  <cp:revision>2</cp:revision>
  <dcterms:created xsi:type="dcterms:W3CDTF">2020-10-07T09:31:00Z</dcterms:created>
  <dcterms:modified xsi:type="dcterms:W3CDTF">2020-10-07T09:31:00Z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0x0101007A9E6D63A99F9C43A02979B121C777EA</vt:lpwstr>
  </property>
</Properties>
</file>