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1B73D" w14:textId="1F12A8C2" w:rsidR="00603E6B" w:rsidRPr="00603E6B" w:rsidRDefault="00603E6B" w:rsidP="00E65EA5">
      <w:pPr>
        <w:spacing w:after="0"/>
        <w:rPr>
          <w:b/>
          <w:bCs/>
          <w:sz w:val="16"/>
          <w:szCs w:val="16"/>
        </w:rPr>
      </w:pPr>
      <w:r>
        <w:rPr>
          <w:b/>
          <w:bCs/>
          <w:noProof/>
          <w:sz w:val="16"/>
          <w:szCs w:val="16"/>
        </w:rPr>
        <w:drawing>
          <wp:anchor distT="0" distB="0" distL="114300" distR="114300" simplePos="0" relativeHeight="251658240" behindDoc="0" locked="0" layoutInCell="1" allowOverlap="1" wp14:anchorId="29E0EF86" wp14:editId="12BBA3D6">
            <wp:simplePos x="0" y="0"/>
            <wp:positionH relativeFrom="column">
              <wp:posOffset>-102235</wp:posOffset>
            </wp:positionH>
            <wp:positionV relativeFrom="paragraph">
              <wp:posOffset>57785</wp:posOffset>
            </wp:positionV>
            <wp:extent cx="781050" cy="781050"/>
            <wp:effectExtent l="0" t="0" r="0" b="0"/>
            <wp:wrapThrough wrapText="bothSides">
              <wp:wrapPolygon edited="0">
                <wp:start x="4741" y="527"/>
                <wp:lineTo x="3688" y="5268"/>
                <wp:lineTo x="2634" y="20546"/>
                <wp:lineTo x="18439" y="20546"/>
                <wp:lineTo x="17385" y="3688"/>
                <wp:lineTo x="16332" y="527"/>
                <wp:lineTo x="4741" y="527"/>
              </wp:wrapPolygon>
            </wp:wrapThrough>
            <wp:docPr id="1" name="Grafik 1" descr="Funkmas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Funkmast mit einfarbiger Füllun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81050" cy="781050"/>
                    </a:xfrm>
                    <a:prstGeom prst="rect">
                      <a:avLst/>
                    </a:prstGeom>
                  </pic:spPr>
                </pic:pic>
              </a:graphicData>
            </a:graphic>
            <wp14:sizeRelH relativeFrom="page">
              <wp14:pctWidth>0</wp14:pctWidth>
            </wp14:sizeRelH>
            <wp14:sizeRelV relativeFrom="page">
              <wp14:pctHeight>0</wp14:pctHeight>
            </wp14:sizeRelV>
          </wp:anchor>
        </w:drawing>
      </w:r>
    </w:p>
    <w:p w14:paraId="1B2990D9" w14:textId="591BFFD0" w:rsidR="00AA1A04" w:rsidRPr="00E65EA5" w:rsidRDefault="00AA1A04" w:rsidP="00E65EA5">
      <w:pPr>
        <w:spacing w:after="0"/>
        <w:rPr>
          <w:b/>
          <w:bCs/>
          <w:sz w:val="36"/>
          <w:szCs w:val="36"/>
        </w:rPr>
      </w:pPr>
      <w:r w:rsidRPr="00E65EA5">
        <w:rPr>
          <w:b/>
          <w:bCs/>
          <w:sz w:val="36"/>
          <w:szCs w:val="36"/>
        </w:rPr>
        <w:t xml:space="preserve">Das Telekommunikationsmodernisierungsgesetz – </w:t>
      </w:r>
      <w:r w:rsidRPr="00E65EA5">
        <w:rPr>
          <w:b/>
          <w:bCs/>
          <w:i/>
          <w:iCs/>
          <w:sz w:val="36"/>
          <w:szCs w:val="36"/>
        </w:rPr>
        <w:t>TKMoG</w:t>
      </w:r>
    </w:p>
    <w:p w14:paraId="30197036" w14:textId="78929EC7" w:rsidR="00E65EA5" w:rsidRDefault="00E65EA5" w:rsidP="00E65EA5">
      <w:pPr>
        <w:spacing w:after="0"/>
        <w:rPr>
          <w:i/>
          <w:iCs/>
          <w:sz w:val="24"/>
          <w:szCs w:val="24"/>
        </w:rPr>
      </w:pPr>
      <w:r w:rsidRPr="00E65EA5">
        <w:rPr>
          <w:i/>
          <w:iCs/>
          <w:sz w:val="24"/>
          <w:szCs w:val="24"/>
        </w:rPr>
        <w:t>Referentenentwurf des Bundesministeriums für Wirtschaft und Energie und des Bundesministeriums für Verkehr und digitale Infrastruktur</w:t>
      </w:r>
    </w:p>
    <w:p w14:paraId="2BE230A1" w14:textId="77777777" w:rsidR="00E65EA5" w:rsidRPr="00E65EA5" w:rsidRDefault="00E65EA5" w:rsidP="00E65EA5">
      <w:pPr>
        <w:spacing w:after="0"/>
        <w:rPr>
          <w:b/>
          <w:bCs/>
          <w:i/>
          <w:iCs/>
          <w:sz w:val="12"/>
          <w:szCs w:val="12"/>
        </w:rPr>
      </w:pPr>
    </w:p>
    <w:p w14:paraId="24A696D9" w14:textId="77777777" w:rsidR="00AA1A04" w:rsidRPr="00E65EA5" w:rsidRDefault="00AA1A04" w:rsidP="00AA1A04">
      <w:pPr>
        <w:rPr>
          <w:b/>
          <w:bCs/>
          <w:sz w:val="24"/>
          <w:szCs w:val="24"/>
        </w:rPr>
      </w:pPr>
      <w:r w:rsidRPr="00E65EA5">
        <w:rPr>
          <w:b/>
          <w:bCs/>
          <w:sz w:val="24"/>
          <w:szCs w:val="24"/>
        </w:rPr>
        <w:t>A. Problem und Ziel</w:t>
      </w:r>
    </w:p>
    <w:p w14:paraId="5E8524B0" w14:textId="210B7C6A" w:rsidR="00AA1A04" w:rsidRDefault="00AA1A04" w:rsidP="00BA0265">
      <w:pPr>
        <w:jc w:val="both"/>
      </w:pPr>
      <w:r>
        <w:t xml:space="preserve">Am 20. Dezember 2018 ist die Richtlinie (EU) 2018/1972 des Europäischen Parlaments und des Rates vom 11. Dezember 2018 über den europäischen Kodex für die elektronische Kommunikation (im Folgenden „Kodex“ oder Richtlinie (EU) 2018/1972) in Kraft getreten. </w:t>
      </w:r>
      <w:r w:rsidR="00E65EA5">
        <w:t xml:space="preserve">[…] </w:t>
      </w:r>
      <w:r>
        <w:t>Die Vorgaben der Richtlinie (EU) 2018/1972 sind bis zum 21. Dezember 2020 in nationales Recht umzusetzen.</w:t>
      </w:r>
    </w:p>
    <w:p w14:paraId="2C6495C8" w14:textId="77777777" w:rsidR="00AA1A04" w:rsidRDefault="00AA1A04" w:rsidP="00BA0265">
      <w:pPr>
        <w:jc w:val="both"/>
      </w:pPr>
      <w:r>
        <w:t>Ziele des Kodex sind der Ausbau und die Nutzung von Netzen mit sehr hoher Kapazität, die Gewährleistung eines nachhaltigen und wirksamen Wettbewerbs und der Interoperabilität der Telekommunikationsdienste. Ferner sollen die Zugänglichkeit und die Sicherheit von Netzen und Diensten gewährleistet sowie die Interessen der Endnutzer gefördert werden. Weitere Ziele sind die Gewährleistung einer Angebotsvielfalt und die Festlegung von Endnutzerrechten. Bürgerinnen und Bürgern sollen ferner erschwingliche und hochwertige Telekommunikationsdienste bereitgestellt werden. Soweit die Bedürfnisse der Endnutzer durch den Markt nicht ausreichend befriedigt werden, ist eine rechtliche Absicherung erforderlich.</w:t>
      </w:r>
    </w:p>
    <w:p w14:paraId="27E91CAE" w14:textId="6F1A236E" w:rsidR="00E65EA5" w:rsidRDefault="00E65EA5" w:rsidP="00BA0265">
      <w:pPr>
        <w:jc w:val="both"/>
      </w:pPr>
      <w:r>
        <w:t xml:space="preserve">[…] </w:t>
      </w:r>
    </w:p>
    <w:p w14:paraId="68A64AE2" w14:textId="50B0C101" w:rsidR="00AA1A04" w:rsidRDefault="00AA1A04" w:rsidP="00BA0265">
      <w:pPr>
        <w:jc w:val="both"/>
      </w:pPr>
      <w:r>
        <w:t>Darüber hinaus sollen regulatorische und sonstige rechtliche Hemmnisse für den Ausbau von mobilen und kabelgebundenen Telekommunikationsnetzen abgebaut sowie Rechts- und Investitionssicherheit gestärkt werden. Die flächendeckende Versorgung mit Telekommunikationsdiensten trägt zur Schaffung gleichwertiger Lebensverhältnisse im Bundesgebiet bei und gewährleistet die soziale und wirtschaftliche Teilhabe aller Bürgerinnen und Bürger. Wichtige Neuerungen betreffen ferner die weitgehende Harmonisierung des Verbraucherschutzes auf einem hohen Niveau.</w:t>
      </w:r>
    </w:p>
    <w:p w14:paraId="1528834E" w14:textId="786DBC68" w:rsidR="00AA1A04" w:rsidRDefault="00AA1A04" w:rsidP="00BA0265">
      <w:pPr>
        <w:jc w:val="both"/>
      </w:pPr>
      <w:r>
        <w:t xml:space="preserve">Wenngleich nach wie vor die klassischen Telekommunikationsdienste im Fokus des Rechtsrahmens stehen, werden künftig insbesondere nummernunabhängige interpersonelle Telekommunikationsdienste, wie z.B. </w:t>
      </w:r>
      <w:r w:rsidR="00E65EA5">
        <w:t>Messenger Dienste</w:t>
      </w:r>
      <w:r>
        <w:t>, in Teile des Regulierungsregimes (insbesondere Kundenschutz und Sicherheit) einbezogen.</w:t>
      </w:r>
    </w:p>
    <w:p w14:paraId="324C3B50" w14:textId="645CDA5C" w:rsidR="00E65EA5" w:rsidRDefault="00E65EA5" w:rsidP="00AA1A04">
      <w:r>
        <w:t xml:space="preserve">[…] </w:t>
      </w:r>
    </w:p>
    <w:p w14:paraId="77CB46AF" w14:textId="7914E96F" w:rsidR="00AA1A04" w:rsidRPr="00E65EA5" w:rsidRDefault="00AA1A04" w:rsidP="00AA1A04">
      <w:pPr>
        <w:rPr>
          <w:b/>
          <w:bCs/>
          <w:sz w:val="24"/>
          <w:szCs w:val="24"/>
        </w:rPr>
      </w:pPr>
      <w:r w:rsidRPr="00E65EA5">
        <w:rPr>
          <w:b/>
          <w:bCs/>
          <w:sz w:val="24"/>
          <w:szCs w:val="24"/>
        </w:rPr>
        <w:t>B. Lösung</w:t>
      </w:r>
    </w:p>
    <w:p w14:paraId="391653D1" w14:textId="53F8C54B" w:rsidR="00AA1A04" w:rsidRDefault="00AA1A04" w:rsidP="00AA1A04">
      <w:r>
        <w:t xml:space="preserve">Das Telekommunikationsgesetz wird umfassend überarbeitet und neu gefasst. Die Schwerpunkte der Novelle liegen </w:t>
      </w:r>
      <w:r w:rsidR="00E65EA5">
        <w:t xml:space="preserve">unter anderem </w:t>
      </w:r>
      <w:r>
        <w:t>in den folgenden Maßnahmen:</w:t>
      </w:r>
    </w:p>
    <w:p w14:paraId="7E8751FC" w14:textId="45A15895" w:rsidR="00AA1A04" w:rsidRDefault="00AA1A04" w:rsidP="00AA1A04">
      <w:pPr>
        <w:pStyle w:val="Listenabsatz"/>
        <w:numPr>
          <w:ilvl w:val="0"/>
          <w:numId w:val="1"/>
        </w:numPr>
      </w:pPr>
      <w:r>
        <w:t>Schaffung von regulatorischen Anreizen für den Ausbau von Netzen mit sehr hoher Kapazität</w:t>
      </w:r>
    </w:p>
    <w:p w14:paraId="3F3FB461" w14:textId="733B510D" w:rsidR="00AA1A04" w:rsidRDefault="00AA1A04" w:rsidP="00AA1A04">
      <w:pPr>
        <w:pStyle w:val="Listenabsatz"/>
        <w:numPr>
          <w:ilvl w:val="0"/>
          <w:numId w:val="1"/>
        </w:numPr>
      </w:pPr>
      <w:r>
        <w:t xml:space="preserve">Neuregelung der Marktregulierung, u.a. Regulierungsfreistellung für Ko-Investitions- und Kooperationsmodelle </w:t>
      </w:r>
    </w:p>
    <w:p w14:paraId="103E3366" w14:textId="77777777" w:rsidR="00AA1A04" w:rsidRDefault="00AA1A04" w:rsidP="00AA1A04">
      <w:pPr>
        <w:pStyle w:val="Listenabsatz"/>
        <w:numPr>
          <w:ilvl w:val="0"/>
          <w:numId w:val="1"/>
        </w:numPr>
      </w:pPr>
      <w:r>
        <w:t>Verbesserung der Informationen über telekommunikationsrelevante Infrastrukturen</w:t>
      </w:r>
    </w:p>
    <w:p w14:paraId="6E789828" w14:textId="59D02584" w:rsidR="00AA1A04" w:rsidRDefault="00AA1A04" w:rsidP="00AA1A04">
      <w:pPr>
        <w:pStyle w:val="Listenabsatz"/>
        <w:numPr>
          <w:ilvl w:val="0"/>
          <w:numId w:val="1"/>
        </w:numPr>
      </w:pPr>
      <w:r>
        <w:t>Modernisierung der Frequenzverwaltung</w:t>
      </w:r>
    </w:p>
    <w:p w14:paraId="38EABA62" w14:textId="213C2D8B" w:rsidR="00AA1A04" w:rsidRDefault="00AA1A04" w:rsidP="00AA1A04">
      <w:pPr>
        <w:pStyle w:val="Listenabsatz"/>
        <w:numPr>
          <w:ilvl w:val="0"/>
          <w:numId w:val="1"/>
        </w:numPr>
      </w:pPr>
      <w:r>
        <w:t>Beschleunigung von Genehmigungsverfahren für den Ausbau von Netzen mit sehr hoher Kapazität, Stärkung der Mitnutzungsrechte, auch für den Ausbau von Mobilfunknetzen</w:t>
      </w:r>
    </w:p>
    <w:p w14:paraId="5DCF9460" w14:textId="1CABF940" w:rsidR="00AA1A04" w:rsidRDefault="00AA1A04" w:rsidP="00AA1A04">
      <w:pPr>
        <w:pStyle w:val="Listenabsatz"/>
        <w:numPr>
          <w:ilvl w:val="0"/>
          <w:numId w:val="1"/>
        </w:numPr>
      </w:pPr>
      <w:r>
        <w:t>Stabilisierung der Verbraucherrechte auf einem insgesamt hohen Niveau, mit verbesserten Kundenrechten in bestimmten Fällen</w:t>
      </w:r>
    </w:p>
    <w:p w14:paraId="0D318E38" w14:textId="0C85D83B" w:rsidR="00AA1A04" w:rsidRDefault="00AA1A04" w:rsidP="00AA1A04">
      <w:pPr>
        <w:pStyle w:val="Listenabsatz"/>
        <w:numPr>
          <w:ilvl w:val="0"/>
          <w:numId w:val="1"/>
        </w:numPr>
      </w:pPr>
      <w:r>
        <w:t xml:space="preserve">Stärkung der Durchsetzbarkeit von Vorgaben zur staatlichen Förderung von Telekommunikationsnetzen, einschließlich der Einführung von Regelungen zum offenen Netzzugang </w:t>
      </w:r>
    </w:p>
    <w:p w14:paraId="312EEC9C" w14:textId="77777777" w:rsidR="00AA1A04" w:rsidRDefault="00AA1A04" w:rsidP="00AA1A04">
      <w:pPr>
        <w:pStyle w:val="Listenabsatz"/>
        <w:numPr>
          <w:ilvl w:val="0"/>
          <w:numId w:val="1"/>
        </w:numPr>
      </w:pPr>
      <w:r>
        <w:t>Modernisierung des Universaldienstes, einschließlich der Verankerung eines Rechts des Einzelnen auf angemessene Versorgung mit Telekommunikationsdiensten</w:t>
      </w:r>
    </w:p>
    <w:p w14:paraId="0C183A5E" w14:textId="5C363584" w:rsidR="00AA1A04" w:rsidRDefault="00AA1A04" w:rsidP="00E65EA5">
      <w:pPr>
        <w:pStyle w:val="Listenabsatz"/>
        <w:numPr>
          <w:ilvl w:val="0"/>
          <w:numId w:val="1"/>
        </w:numPr>
      </w:pPr>
      <w:r>
        <w:t>Anpassung der Verpflichtungen im Bereich der öffentlichen Sicherheit an veränderte Bedürfnisse und technische Entwicklungen.</w:t>
      </w:r>
    </w:p>
    <w:p w14:paraId="26AFDE73" w14:textId="1008951D" w:rsidR="00E65EA5" w:rsidRDefault="00E65EA5" w:rsidP="00E65EA5"/>
    <w:p w14:paraId="71C9AD94" w14:textId="77777777" w:rsidR="00E65EA5" w:rsidRDefault="00E65EA5" w:rsidP="00E65EA5"/>
    <w:sectPr w:rsidR="00E65EA5" w:rsidSect="00E65EA5">
      <w:pgSz w:w="11906" w:h="16838"/>
      <w:pgMar w:top="284" w:right="991" w:bottom="28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185C50"/>
    <w:multiLevelType w:val="hybridMultilevel"/>
    <w:tmpl w:val="8742529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04"/>
    <w:rsid w:val="002B0EAD"/>
    <w:rsid w:val="00603E6B"/>
    <w:rsid w:val="009A107C"/>
    <w:rsid w:val="009A645D"/>
    <w:rsid w:val="009A7605"/>
    <w:rsid w:val="00AA1A04"/>
    <w:rsid w:val="00B73D8B"/>
    <w:rsid w:val="00B76187"/>
    <w:rsid w:val="00BA0265"/>
    <w:rsid w:val="00C7226B"/>
    <w:rsid w:val="00D743BF"/>
    <w:rsid w:val="00DB294F"/>
    <w:rsid w:val="00DE741C"/>
    <w:rsid w:val="00E65EA5"/>
    <w:rsid w:val="00FA50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2420"/>
  <w15:chartTrackingRefBased/>
  <w15:docId w15:val="{AB95D6C7-1B5D-44E7-8FAB-92141D82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A1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7083331">
      <w:bodyDiv w:val="1"/>
      <w:marLeft w:val="0"/>
      <w:marRight w:val="0"/>
      <w:marTop w:val="0"/>
      <w:marBottom w:val="0"/>
      <w:divBdr>
        <w:top w:val="none" w:sz="0" w:space="0" w:color="auto"/>
        <w:left w:val="none" w:sz="0" w:space="0" w:color="auto"/>
        <w:bottom w:val="none" w:sz="0" w:space="0" w:color="auto"/>
        <w:right w:val="none" w:sz="0" w:space="0" w:color="auto"/>
      </w:divBdr>
    </w:div>
    <w:div w:id="184851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A9E6D63A99F9C43A02979B121C777EA" ma:contentTypeVersion="10" ma:contentTypeDescription="Ein neues Dokument erstellen." ma:contentTypeScope="" ma:versionID="316f6672ad04001e4585d143abc68c2a">
  <xsd:schema xmlns:xsd="http://www.w3.org/2001/XMLSchema" xmlns:xs="http://www.w3.org/2001/XMLSchema" xmlns:p="http://schemas.microsoft.com/office/2006/metadata/properties" xmlns:ns2="fc235c0e-72f3-44b5-b0da-fefce04bdbba" targetNamespace="http://schemas.microsoft.com/office/2006/metadata/properties" ma:root="true" ma:fieldsID="25c25353d4a48d3d0c8d16abe2aaaa4e" ns2:_="">
    <xsd:import namespace="fc235c0e-72f3-44b5-b0da-fefce04bdb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35c0e-72f3-44b5-b0da-fefce04bd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EE1206-1B20-4D66-B20B-36FB5FD4CAF6}"/>
</file>

<file path=customXml/itemProps2.xml><?xml version="1.0" encoding="utf-8"?>
<ds:datastoreItem xmlns:ds="http://schemas.openxmlformats.org/officeDocument/2006/customXml" ds:itemID="{5A9BE97E-8B1F-47C5-9975-566E6B667459}"/>
</file>

<file path=customXml/itemProps3.xml><?xml version="1.0" encoding="utf-8"?>
<ds:datastoreItem xmlns:ds="http://schemas.openxmlformats.org/officeDocument/2006/customXml" ds:itemID="{7CBD64F7-0AA3-4396-ABB1-EC442310FE44}"/>
</file>

<file path=docProps/app.xml><?xml version="1.0" encoding="utf-8"?>
<Properties xmlns="http://schemas.openxmlformats.org/officeDocument/2006/extended-properties" xmlns:vt="http://schemas.openxmlformats.org/officeDocument/2006/docPropsVTypes">
  <Template>Normal</Template>
  <TotalTime>0</TotalTime>
  <Pages>1</Pages>
  <Words>460</Words>
  <Characters>2905</Characters>
  <Application>Microsoft Office Word</Application>
  <DocSecurity>0</DocSecurity>
  <Lines>24</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Horn</dc:creator>
  <cp:keywords/>
  <dc:description/>
  <cp:lastModifiedBy>Veronika Horn</cp:lastModifiedBy>
  <cp:revision>7</cp:revision>
  <dcterms:created xsi:type="dcterms:W3CDTF">2021-01-20T11:05:00Z</dcterms:created>
  <dcterms:modified xsi:type="dcterms:W3CDTF">2021-02-01T13:55:00Z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0x0101007A9E6D63A99F9C43A02979B121C777EA</vt:lpwstr>
  </property>
</Properties>
</file>