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100"/>
        <w:gridCol w:w="3600"/>
      </w:tblGrid>
      <w:tr>
        <w:tc>
          <w:tcPr>
            <w:tcW w:type="dxa" w:w="6100"/>
            <w:tcMar>
              <w:top w:type="dxa" w:w="0"/>
              <w:left w:type="dxa" w:w="0"/>
              <w:bottom w:type="dxa" w:w="0"/>
              <w:right w:type="dxa" w:w="0"/>
            </w:tcMar>
          </w:tcPr>
          <w:p>
            <w:pPr>
              <w:spacing w:after="40"/>
            </w:pPr>
            <w:r>
              <w:rPr>
                <w:b/>
                <w:bCs/>
                <w:color w:val="1F6F4C"/>
                <w:sz w:val="30"/>
                <w:szCs w:val="30"/>
              </w:rPr>
              <w:t xml:space="preserve">Rincian Pengerjaan &amp; Penawaran Harga</w:t>
            </w:r>
          </w:p>
          <w:p>
            <w:pPr>
              <w:spacing w:after="0"/>
            </w:pPr>
            <w:r>
              <w:rPr>
                <w:b/>
                <w:bCs/>
                <w:color w:val="1F2937"/>
                <w:sz w:val="20"/>
                <w:szCs w:val="20"/>
              </w:rPr>
              <w:t xml:space="preserve">Pengembangan Aplikasi Portal Guru (Pengganti SiPeka) — Seluruh Modul</w:t>
            </w:r>
          </w:p>
        </w:tc>
        <w:tc>
          <w:tcPr>
            <w:tcW w:type="dxa" w:w="3600"/>
            <w:tcMar>
              <w:top w:type="dxa" w:w="0"/>
              <w:left w:type="dxa" w:w="0"/>
              <w:bottom w:type="dxa" w:w="0"/>
              <w:right w:type="dxa" w:w="0"/>
            </w:tcMar>
            <w:vAlign w:val="top"/>
          </w:tcPr>
          <w:p>
            <w:pPr>
              <w:spacing w:after="20"/>
              <w:jc w:val="right"/>
            </w:pPr>
            <w:r>
              <w:rPr>
                <w:color w:val="5B6472"/>
                <w:sz w:val="18"/>
                <w:szCs w:val="18"/>
              </w:rPr>
              <w:t xml:space="preserve">No. Penawaran: PG/IX/2026-01</w:t>
            </w:r>
            <w:r>
              <w:rPr>
                <w:b/>
                <w:bCs/>
                <w:color w:val="1F6F4C"/>
                <w:sz w:val="18"/>
                <w:szCs w:val="18"/>
              </w:rPr>
              <w:t xml:space="preserve">  (Revisi 1)</w:t>
            </w:r>
          </w:p>
          <w:p>
            <w:pPr>
              <w:spacing w:after="20"/>
              <w:jc w:val="right"/>
            </w:pPr>
            <w:r>
              <w:rPr>
                <w:color w:val="5B6472"/>
                <w:sz w:val="18"/>
                <w:szCs w:val="18"/>
              </w:rPr>
              <w:t xml:space="preserve">Tanggal Revisi: 11 September 2026</w:t>
            </w:r>
          </w:p>
          <w:p>
            <w:pPr>
              <w:spacing w:after="0"/>
              <w:jc w:val="right"/>
            </w:pPr>
            <w:r>
              <w:rPr>
                <w:color w:val="5B6472"/>
                <w:sz w:val="18"/>
                <w:szCs w:val="18"/>
              </w:rPr>
              <w:t xml:space="preserve">Berlaku hingga: 25 September 2026</w:t>
            </w:r>
          </w:p>
        </w:tc>
      </w:tr>
    </w:tbl>
    <w:p>
      <w:pPr>
        <w:pBdr>
          <w:bottom w:val="single" w:color="1F6F4C" w:sz="6" w:space="6"/>
        </w:pBdr>
        <w:spacing w:after="0" w:before="160"/>
      </w:pP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0"/>
        <w:gridCol w:w="4850"/>
      </w:tblGrid>
      <w:tr>
        <w:tc>
          <w:tcPr>
            <w:tcW w:type="dxa" w:w="4850"/>
            <w:tcMar>
              <w:top w:type="dxa" w:w="120"/>
              <w:left w:type="dxa" w:w="0"/>
              <w:bottom w:type="dxa" w:w="0"/>
              <w:right w:type="dxa" w:w="0"/>
            </w:tcMar>
          </w:tcPr>
          <w:p>
            <w:pPr>
              <w:spacing w:after="20"/>
            </w:pPr>
            <w:r>
              <w:rPr>
                <w:b/>
                <w:bCs/>
                <w:color w:val="5B6472"/>
                <w:sz w:val="16"/>
                <w:szCs w:val="16"/>
              </w:rPr>
              <w:t xml:space="preserve">KEPADA</w:t>
            </w:r>
          </w:p>
          <w:p>
            <w:pPr>
              <w:spacing w:after="0"/>
            </w:pPr>
            <w:r>
              <w:rPr>
                <w:b/>
                <w:bCs/>
                <w:color w:val="1F2937"/>
                <w:sz w:val="20"/>
                <w:szCs w:val="20"/>
              </w:rPr>
              <w:t xml:space="preserve">SD Islam Darussalam Palangka Raya</w:t>
            </w:r>
          </w:p>
          <w:p>
            <w:pPr>
              <w:spacing w:after="0"/>
            </w:pPr>
            <w:r>
              <w:rPr>
                <w:color w:val="5B6472"/>
                <w:sz w:val="18"/>
                <w:szCs w:val="18"/>
              </w:rPr>
              <w:t xml:space="preserve">Pemilik proyek Portal Guru (pengganti SiPeka)</w:t>
            </w:r>
          </w:p>
        </w:tc>
        <w:tc>
          <w:tcPr>
            <w:tcW w:type="dxa" w:w="4850"/>
            <w:tcMar>
              <w:top w:type="dxa" w:w="120"/>
              <w:left w:type="dxa" w:w="0"/>
              <w:bottom w:type="dxa" w:w="0"/>
              <w:right w:type="dxa" w:w="0"/>
            </w:tcMar>
          </w:tcPr>
          <w:p>
            <w:pPr>
              <w:spacing w:after="20"/>
            </w:pPr>
            <w:r>
              <w:rPr>
                <w:b/>
                <w:bCs/>
                <w:color w:val="5B6472"/>
                <w:sz w:val="16"/>
                <w:szCs w:val="16"/>
              </w:rPr>
              <w:t xml:space="preserve">DARI</w:t>
            </w:r>
          </w:p>
          <w:p>
            <w:pPr>
              <w:spacing w:after="0"/>
            </w:pPr>
            <w:r>
              <w:rPr>
                <w:b/>
                <w:bCs/>
                <w:color w:val="1F2937"/>
                <w:sz w:val="20"/>
                <w:szCs w:val="20"/>
              </w:rPr>
              <w:t xml:space="preserve">Budi Aulyansyah Ahmad Trisna</w:t>
            </w:r>
          </w:p>
          <w:p>
            <w:pPr>
              <w:spacing w:after="0"/>
            </w:pPr>
            <w:r>
              <w:rPr>
                <w:color w:val="5B6472"/>
                <w:sz w:val="18"/>
                <w:szCs w:val="18"/>
              </w:rPr>
              <w:t xml:space="preserve">Pengembang Aplikasi (Laravel + Filament)</w:t>
            </w:r>
          </w:p>
        </w:tc>
      </w:tr>
    </w:tbl>
    <w:p>
      <w:pPr>
        <w:pStyle w:val="Heading1"/>
        <w:spacing w:after="120" w:before="260"/>
      </w:pPr>
      <w:r>
        <w:rPr>
          <w:b/>
          <w:bCs/>
          <w:color w:val="1F6F4C"/>
          <w:sz w:val="24"/>
          <w:szCs w:val="24"/>
        </w:rPr>
        <w:t xml:space="preserve">1. Ringkasan Pekerjaan</w:t>
      </w:r>
    </w:p>
    <w:p>
      <w:pPr>
        <w:spacing w:after="80" w:before="0"/>
      </w:pPr>
      <w:r>
        <w:rPr>
          <w:color w:val="1F2937"/>
          <w:sz w:val="20"/>
          <w:szCs w:val="20"/>
        </w:rPr>
        <w:t xml:space="preserve">Dokumen ini merupakan revisi dari penawaran No. PG/IX/2026-01 tertanggal 11 September 2026. Semula penawaran tersebut hanya mencakup Modul Data Induk (Master Data) &amp; Manajemen Peran sebagai tahap awal. Revisi ini mengubah ruang lingkup pekerjaan menjadi mencakup pengembangan seluruh modul Portal Guru sebagai pengganti SiPeka, sesuai dokumen ruang lingkup proyek Portal Guru, dengan harga yang tetap sesuai kesepakatan awal.</w:t>
      </w:r>
    </w:p>
    <w:p>
      <w:pPr>
        <w:pStyle w:val="Heading1"/>
        <w:spacing w:after="120" w:before="260"/>
      </w:pPr>
      <w:r>
        <w:rPr>
          <w:b/>
          <w:bCs/>
          <w:color w:val="1F6F4C"/>
          <w:sz w:val="24"/>
          <w:szCs w:val="24"/>
        </w:rPr>
        <w:t xml:space="preserve">2. Ruang Lingkup Pekerjaan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00"/>
        <w:gridCol w:w="3000"/>
        <w:gridCol w:w="6100"/>
      </w:tblGrid>
      <w:tr>
        <w:trPr>
          <w:tblHeader/>
        </w:trPr>
        <w:tc>
          <w:tcPr>
            <w:tcW w:type="dxa" w:w="600"/>
            <w:gridSpan w:val="1"/>
            <w:shd w:fill="EAF3EE" w:color="auto" w:val="clear"/>
            <w:tcMar>
              <w:top w:type="dxa" w:w="80"/>
              <w:left w:type="dxa" w:w="100"/>
              <w:bottom w:type="dxa" w:w="80"/>
              <w:right w:type="dxa" w:w="100"/>
            </w:tcMar>
            <w:vAlign w:val="center"/>
          </w:tcPr>
          <w:p>
            <w:pPr>
              <w:spacing w:after="0"/>
              <w:jc w:val="center"/>
            </w:pPr>
            <w:r>
              <w:rPr>
                <w:b/>
                <w:bCs/>
                <w:color w:val="1F6F4C"/>
                <w:sz w:val="19"/>
                <w:szCs w:val="19"/>
              </w:rPr>
              <w:t xml:space="preserve">NO</w:t>
            </w:r>
          </w:p>
        </w:tc>
        <w:tc>
          <w:tcPr>
            <w:tcW w:type="dxa" w:w="3000"/>
            <w:gridSpan w:val="1"/>
            <w:shd w:fill="EAF3EE" w:color="auto" w:val="clear"/>
            <w:tcMar>
              <w:top w:type="dxa" w:w="80"/>
              <w:left w:type="dxa" w:w="100"/>
              <w:bottom w:type="dxa" w:w="80"/>
              <w:right w:type="dxa" w:w="100"/>
            </w:tcMar>
            <w:vAlign w:val="center"/>
          </w:tcPr>
          <w:p>
            <w:pPr>
              <w:spacing w:after="0"/>
              <w:jc w:val="left"/>
            </w:pPr>
            <w:r>
              <w:rPr>
                <w:b/>
                <w:bCs/>
                <w:color w:val="1F6F4C"/>
                <w:sz w:val="19"/>
                <w:szCs w:val="19"/>
              </w:rPr>
              <w:t xml:space="preserve">ITEM PEKERJAAN</w:t>
            </w:r>
          </w:p>
        </w:tc>
        <w:tc>
          <w:tcPr>
            <w:tcW w:type="dxa" w:w="6100"/>
            <w:gridSpan w:val="1"/>
            <w:shd w:fill="EAF3EE" w:color="auto" w:val="clear"/>
            <w:tcMar>
              <w:top w:type="dxa" w:w="80"/>
              <w:left w:type="dxa" w:w="100"/>
              <w:bottom w:type="dxa" w:w="80"/>
              <w:right w:type="dxa" w:w="100"/>
            </w:tcMar>
            <w:vAlign w:val="center"/>
          </w:tcPr>
          <w:p>
            <w:pPr>
              <w:spacing w:after="0"/>
              <w:jc w:val="left"/>
            </w:pPr>
            <w:r>
              <w:rPr>
                <w:b/>
                <w:bCs/>
                <w:color w:val="1F6F4C"/>
                <w:sz w:val="19"/>
                <w:szCs w:val="19"/>
              </w:rPr>
              <w:t xml:space="preserve">KETERANGAN</w:t>
            </w:r>
          </w:p>
        </w:tc>
      </w:tr>
      <w:tr>
        <w:tc>
          <w:tcPr>
            <w:tcW w:type="dxa" w:w="9700"/>
            <w:gridSpan w:val="3"/>
            <w:shd w:fill="D8EDE1" w:color="auto" w:val="clear"/>
            <w:tcMar>
              <w:top w:type="dxa" w:w="80"/>
              <w:left w:type="dxa" w:w="100"/>
              <w:bottom w:type="dxa" w:w="80"/>
              <w:right w:type="dxa" w:w="100"/>
            </w:tcMar>
            <w:vAlign w:val="center"/>
          </w:tcPr>
          <w:p>
            <w:pPr>
              <w:spacing w:after="0"/>
              <w:jc w:val="left"/>
            </w:pPr>
            <w:r>
              <w:rPr>
                <w:b/>
                <w:bCs/>
                <w:color w:val="1F2937"/>
                <w:sz w:val="19"/>
                <w:szCs w:val="19"/>
              </w:rPr>
              <w:t xml:space="preserve">Data Induk &amp; Sistem (Tahap 1 — sudah dikerjakan)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Data Guru &amp; Staf</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Data akun, jabatan, status aktif, dan penetapan peran per guru</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Rombongan Belajar (Kelas)</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Data kelas, wali kelas, dan pendamping wali kelas</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3</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Mata Pelajaran</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Daftar mata pelajaran yang dapat dikelola admin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4</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Slot Waktu</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Pengaturan slot jam pelajaran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5</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Rutinitas Harian</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Rutinitas tetap per hari (mis. upacara, salat Dhuha, istirahat)</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6</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Tahun Ajaran &amp; Semester</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Penandaan semester aktif sebagai dasar arsip data ke depannya</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7</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Sistem Peran &amp; Hak Akses</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Hak akses tiap peran ditegakkan di sisi server, bukan hanya di tampilan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8</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Antarmuka Admin (Filament)</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Tambah, ubah, hapus, cari, dan filter untuk seluruh data pada poin 1–6</w:t>
            </w:r>
          </w:p>
        </w:tc>
      </w:tr>
      <w:tr>
        <w:tc>
          <w:tcPr>
            <w:tcW w:type="dxa" w:w="9700"/>
            <w:gridSpan w:val="3"/>
            <w:shd w:fill="D8EDE1" w:color="auto" w:val="clear"/>
            <w:tcMar>
              <w:top w:type="dxa" w:w="80"/>
              <w:left w:type="dxa" w:w="100"/>
              <w:bottom w:type="dxa" w:w="80"/>
              <w:right w:type="dxa" w:w="100"/>
            </w:tcMar>
            <w:vAlign w:val="center"/>
          </w:tcPr>
          <w:p>
            <w:pPr>
              <w:spacing w:after="0"/>
              <w:jc w:val="left"/>
            </w:pPr>
            <w:r>
              <w:rPr>
                <w:b/>
                <w:bCs/>
                <w:color w:val="1F2937"/>
                <w:sz w:val="19"/>
                <w:szCs w:val="19"/>
              </w:rPr>
              <w:t xml:space="preserve">Akademik &amp; Jadwal</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9</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Login &amp; Autentikasi Guru</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Login dengan email dan kata sandi per akun guru/staf</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10</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Dashboard</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Ringkasan harian, status kalender akademik, dan pengingat kelengkapan tugas</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11</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Jadwal Pelajaran &amp; Matriks Jadwal Mingguan</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Penjadwalan per kelas/guru, cek bentrok, dan tampilan matriks mingguan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12</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Profil Guru</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Jadwal mengajar, jam pelajaran (JP), dan rekap tugas</w:t>
            </w:r>
          </w:p>
        </w:tc>
      </w:tr>
      <w:tr>
        <w:tc>
          <w:tcPr>
            <w:tcW w:type="dxa" w:w="9700"/>
            <w:gridSpan w:val="3"/>
            <w:shd w:fill="D8EDE1" w:color="auto" w:val="clear"/>
            <w:tcMar>
              <w:top w:type="dxa" w:w="80"/>
              <w:left w:type="dxa" w:w="100"/>
              <w:bottom w:type="dxa" w:w="80"/>
              <w:right w:type="dxa" w:w="100"/>
            </w:tcMar>
            <w:vAlign w:val="center"/>
          </w:tcPr>
          <w:p>
            <w:pPr>
              <w:spacing w:after="0"/>
              <w:jc w:val="left"/>
            </w:pPr>
            <w:r>
              <w:rPr>
                <w:b/>
                <w:bCs/>
                <w:color w:val="1F2937"/>
                <w:sz w:val="19"/>
                <w:szCs w:val="19"/>
              </w:rPr>
              <w:t xml:space="preserve">Administrasi Harian Guru</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13</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Absensi Guru</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Hadir/izin/sakit/cuti, pengajuan pulang awal, checklist SIMPATI, dan pengaturan hari efektif/libur</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14</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Jurnal Guru (KBM)</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Pencatatan kegiatan belajar mengajar harian dan ekspor Excel</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15</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Penggantian Guru</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Pencatatan dan riwayat guru pengganti</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16</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Manajemen Tugas</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Tugas utama dan tugas tambahan guru, beserta status penyelesaian per guru</w:t>
            </w:r>
          </w:p>
        </w:tc>
      </w:tr>
      <w:tr>
        <w:tc>
          <w:tcPr>
            <w:tcW w:type="dxa" w:w="9700"/>
            <w:gridSpan w:val="3"/>
            <w:shd w:fill="D8EDE1" w:color="auto" w:val="clear"/>
            <w:tcMar>
              <w:top w:type="dxa" w:w="80"/>
              <w:left w:type="dxa" w:w="100"/>
              <w:bottom w:type="dxa" w:w="80"/>
              <w:right w:type="dxa" w:w="100"/>
            </w:tcMar>
            <w:vAlign w:val="center"/>
          </w:tcPr>
          <w:p>
            <w:pPr>
              <w:spacing w:after="0"/>
              <w:jc w:val="left"/>
            </w:pPr>
            <w:r>
              <w:rPr>
                <w:b/>
                <w:bCs/>
                <w:color w:val="1F2937"/>
                <w:sz w:val="19"/>
                <w:szCs w:val="19"/>
              </w:rPr>
              <w:t xml:space="preserve">Program &amp; Kegiatan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17</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Kokurikuler</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Penjadwalan tema dan pencatatan kegiatan kokurikuler per kelas</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18</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Kurikulum</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Dokumen kurikulum resmi berupa tautan Google Drive</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19</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Ekstrakurikuler</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Jadwal ekskul, absensi guru pendamping, dan papan pengumuman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20</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Penilaian Sumatif Akhir Bab</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Pencatatan status dan tautan hasil penilaian per bab</w:t>
            </w:r>
          </w:p>
        </w:tc>
      </w:tr>
      <w:tr>
        <w:tc>
          <w:tcPr>
            <w:tcW w:type="dxa" w:w="9700"/>
            <w:gridSpan w:val="3"/>
            <w:shd w:fill="D8EDE1" w:color="auto" w:val="clear"/>
            <w:tcMar>
              <w:top w:type="dxa" w:w="80"/>
              <w:left w:type="dxa" w:w="100"/>
              <w:bottom w:type="dxa" w:w="80"/>
              <w:right w:type="dxa" w:w="100"/>
            </w:tcMar>
            <w:vAlign w:val="center"/>
          </w:tcPr>
          <w:p>
            <w:pPr>
              <w:spacing w:after="0"/>
              <w:jc w:val="left"/>
            </w:pPr>
            <w:r>
              <w:rPr>
                <w:b/>
                <w:bCs/>
                <w:color w:val="1F2937"/>
                <w:sz w:val="19"/>
                <w:szCs w:val="19"/>
              </w:rPr>
              <w:t xml:space="preserve">Sarana &amp; Pengajuan</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21</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Reservasi PID (Papan Interaktif Digital)</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Pengajuan dan persetujuan pemakaian PID oleh Waka Sarpras</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22</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Outing Class</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Pengajuan dan persetujuan kegiatan outing kelas oleh Waka Kurikulum</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23</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Supervisi</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Penjadwalan supervisi dan catatan hasil supervisi</w:t>
            </w:r>
          </w:p>
        </w:tc>
      </w:tr>
      <w:tr>
        <w:tc>
          <w:tcPr>
            <w:tcW w:type="dxa" w:w="9700"/>
            <w:gridSpan w:val="3"/>
            <w:shd w:fill="D8EDE1" w:color="auto" w:val="clear"/>
            <w:tcMar>
              <w:top w:type="dxa" w:w="80"/>
              <w:left w:type="dxa" w:w="100"/>
              <w:bottom w:type="dxa" w:w="80"/>
              <w:right w:type="dxa" w:w="100"/>
            </w:tcMar>
            <w:vAlign w:val="center"/>
          </w:tcPr>
          <w:p>
            <w:pPr>
              <w:spacing w:after="0"/>
              <w:jc w:val="left"/>
            </w:pPr>
            <w:r>
              <w:rPr>
                <w:b/>
                <w:bCs/>
                <w:color w:val="1F2937"/>
                <w:sz w:val="19"/>
                <w:szCs w:val="19"/>
              </w:rPr>
              <w:t xml:space="preserve">Monitoring, Evaluasi &amp; Lintas Modul</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24</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Monitoring &amp; Evaluasi (Monev)</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Ringkasan status jurnal, absensi, dan penilaian per guru</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25</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Monitoring Administrasi Kelas</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Checklist kelengkapan administrasi kelas, dijadwalkan oleh Waka Kurikulum</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26</w:t>
            </w:r>
          </w:p>
        </w:tc>
        <w:tc>
          <w:tcPr>
            <w:tcW w:type="dxa" w:w="3000"/>
            <w:gridSpan w:val="1"/>
            <w:tcMar>
              <w:top w:type="dxa" w:w="80"/>
              <w:left w:type="dxa" w:w="100"/>
              <w:bottom w:type="dxa" w:w="80"/>
              <w:right w:type="dxa" w:w="100"/>
            </w:tcMar>
            <w:vAlign w:val="center"/>
          </w:tcPr>
          <w:p>
            <w:pPr>
              <w:spacing w:after="0"/>
              <w:jc w:val="left"/>
            </w:pPr>
            <w:r>
              <w:rPr>
                <w:b/>
                <w:bCs/>
                <w:color w:val="1F2937"/>
                <w:sz w:val="19"/>
                <w:szCs w:val="19"/>
              </w:rPr>
              <w:t xml:space="preserve">Notifikasi</w:t>
            </w:r>
          </w:p>
        </w:tc>
        <w:tc>
          <w:tcPr>
            <w:tcW w:type="dxa" w:w="61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Notifikasi dalam aplikasi (in-app), tersimpan per penerima di server</w:t>
            </w:r>
          </w:p>
        </w:tc>
      </w:tr>
    </w:tbl>
    <w:p>
      <w:pPr>
        <w:pStyle w:val="Heading1"/>
        <w:spacing w:after="120" w:before="260"/>
      </w:pPr>
      <w:r>
        <w:rPr>
          <w:b/>
          <w:bCs/>
          <w:color w:val="1F6F4C"/>
          <w:sz w:val="24"/>
          <w:szCs w:val="24"/>
        </w:rPr>
        <w:t xml:space="preserve">3. Di Luar Ruang Lingkup</w:t>
      </w:r>
    </w:p>
    <w:p>
      <w:pPr>
        <w:spacing w:after="100" w:before="0"/>
      </w:pPr>
      <w:r>
        <w:rPr>
          <w:color w:val="1F2937"/>
          <w:sz w:val="20"/>
          <w:szCs w:val="20"/>
        </w:rPr>
        <w:t xml:space="preserve">Hal-hal berikut tidak termasuk dalam penawaran ini:</w:t>
      </w:r>
    </w:p>
    <w:p>
      <w:pPr>
        <w:spacing w:after="80" w:before="0"/>
        <w:ind w:left="360" w:hanging="200"/>
      </w:pPr>
      <w:r>
        <w:rPr>
          <w:b/>
          <w:bCs/>
          <w:color w:val="1F6F4C"/>
          <w:sz w:val="20"/>
          <w:szCs w:val="20"/>
        </w:rPr>
        <w:t xml:space="preserve">•  </w:t>
      </w:r>
      <w:r>
        <w:rPr>
          <w:color w:val="1F2937"/>
          <w:sz w:val="20"/>
          <w:szCs w:val="20"/>
        </w:rPr>
        <w:t xml:space="preserve">Migrasi data otomatis dari Canva Sheet (data awal diisi ulang secara manual, sesuai keputusan sekolah)</w:t>
      </w:r>
    </w:p>
    <w:p>
      <w:pPr>
        <w:spacing w:after="80" w:before="0"/>
        <w:ind w:left="360" w:hanging="200"/>
      </w:pPr>
      <w:r>
        <w:rPr>
          <w:b/>
          <w:bCs/>
          <w:color w:val="1F6F4C"/>
          <w:sz w:val="20"/>
          <w:szCs w:val="20"/>
        </w:rPr>
        <w:t xml:space="preserve">•  </w:t>
      </w:r>
      <w:r>
        <w:rPr>
          <w:color w:val="1F2937"/>
          <w:sz w:val="20"/>
          <w:szCs w:val="20"/>
        </w:rPr>
        <w:t xml:space="preserve">Notifikasi WhatsApp, termasuk tombol pesan WhatsApp untuk reservasi PID</w:t>
      </w:r>
    </w:p>
    <w:p>
      <w:pPr>
        <w:spacing w:after="80" w:before="0"/>
        <w:ind w:left="360" w:hanging="200"/>
      </w:pPr>
      <w:r>
        <w:rPr>
          <w:b/>
          <w:bCs/>
          <w:color w:val="1F6F4C"/>
          <w:sz w:val="20"/>
          <w:szCs w:val="20"/>
        </w:rPr>
        <w:t xml:space="preserve">•  </w:t>
      </w:r>
      <w:r>
        <w:rPr>
          <w:color w:val="1F2937"/>
          <w:sz w:val="20"/>
          <w:szCs w:val="20"/>
        </w:rPr>
        <w:t xml:space="preserve">Asisten AI dengan model AI sungguhan, dan generator RPP otomatis</w:t>
      </w:r>
    </w:p>
    <w:p>
      <w:pPr>
        <w:spacing w:after="80" w:before="0"/>
        <w:ind w:left="360" w:hanging="200"/>
      </w:pPr>
      <w:r>
        <w:rPr>
          <w:b/>
          <w:bCs/>
          <w:color w:val="1F6F4C"/>
          <w:sz w:val="20"/>
          <w:szCs w:val="20"/>
        </w:rPr>
        <w:t xml:space="preserve">•  </w:t>
      </w:r>
      <w:r>
        <w:rPr>
          <w:color w:val="1F2937"/>
          <w:sz w:val="20"/>
          <w:szCs w:val="20"/>
        </w:rPr>
        <w:t xml:space="preserve">Login menggunakan akun Google</w:t>
      </w:r>
    </w:p>
    <w:p>
      <w:pPr>
        <w:spacing w:after="80" w:before="0"/>
        <w:ind w:left="360" w:hanging="200"/>
      </w:pPr>
      <w:r>
        <w:rPr>
          <w:b/>
          <w:bCs/>
          <w:color w:val="1F6F4C"/>
          <w:sz w:val="20"/>
          <w:szCs w:val="20"/>
        </w:rPr>
        <w:t xml:space="preserve">•  </w:t>
      </w:r>
      <w:r>
        <w:rPr>
          <w:color w:val="1F2937"/>
          <w:sz w:val="20"/>
          <w:szCs w:val="20"/>
        </w:rPr>
        <w:t xml:space="preserve">Portal SIMPATI itu sendiri (tetap sistem terpisah; Portal Guru hanya menyediakan tautan dan checklist)</w:t>
      </w:r>
    </w:p>
    <w:p>
      <w:pPr>
        <w:spacing w:after="80" w:before="0"/>
        <w:ind w:left="360" w:hanging="200"/>
      </w:pPr>
      <w:r>
        <w:rPr>
          <w:b/>
          <w:bCs/>
          <w:color w:val="1F6F4C"/>
          <w:sz w:val="20"/>
          <w:szCs w:val="20"/>
        </w:rPr>
        <w:t xml:space="preserve">•  </w:t>
      </w:r>
      <w:r>
        <w:rPr>
          <w:color w:val="1F2937"/>
          <w:sz w:val="20"/>
          <w:szCs w:val="20"/>
        </w:rPr>
        <w:t xml:space="preserve">Data dan nilai per siswa, e-rapor, PPDB, keuangan/SPP, dan penggajian</w:t>
      </w:r>
    </w:p>
    <w:p>
      <w:pPr>
        <w:spacing w:after="80" w:before="0"/>
        <w:ind w:left="360" w:hanging="200"/>
      </w:pPr>
      <w:r>
        <w:rPr>
          <w:b/>
          <w:bCs/>
          <w:color w:val="1F6F4C"/>
          <w:sz w:val="20"/>
          <w:szCs w:val="20"/>
        </w:rPr>
        <w:t xml:space="preserve">•  </w:t>
      </w:r>
      <w:r>
        <w:rPr>
          <w:color w:val="1F2937"/>
          <w:sz w:val="20"/>
          <w:szCs w:val="20"/>
        </w:rPr>
        <w:t xml:space="preserve">Integrasi dengan Dapodik</w:t>
      </w:r>
    </w:p>
    <w:p>
      <w:pPr>
        <w:spacing w:after="80" w:before="0"/>
        <w:ind w:left="360" w:hanging="200"/>
      </w:pPr>
      <w:r>
        <w:rPr>
          <w:b/>
          <w:bCs/>
          <w:color w:val="1F6F4C"/>
          <w:sz w:val="20"/>
          <w:szCs w:val="20"/>
        </w:rPr>
        <w:t xml:space="preserve">•  </w:t>
      </w:r>
      <w:r>
        <w:rPr>
          <w:color w:val="1F2937"/>
          <w:sz w:val="20"/>
          <w:szCs w:val="20"/>
        </w:rPr>
        <w:t xml:space="preserve">Aplikasi native Android/iOS (cukup web responsif; PWA dapat dibicarakan terpisah)</w:t>
      </w:r>
    </w:p>
    <w:p>
      <w:pPr>
        <w:spacing w:after="80" w:before="0"/>
        <w:ind w:left="360" w:hanging="200"/>
      </w:pPr>
      <w:r>
        <w:rPr>
          <w:b/>
          <w:bCs/>
          <w:color w:val="1F6F4C"/>
          <w:sz w:val="20"/>
          <w:szCs w:val="20"/>
        </w:rPr>
        <w:t xml:space="preserve">•  </w:t>
      </w:r>
      <w:r>
        <w:rPr>
          <w:color w:val="1F2937"/>
          <w:sz w:val="20"/>
          <w:szCs w:val="20"/>
        </w:rPr>
        <w:t xml:space="preserve">Portal untuk orang tua/siswa</w:t>
      </w:r>
    </w:p>
    <w:p>
      <w:pPr>
        <w:spacing w:after="80" w:before="100"/>
      </w:pPr>
      <w:r>
        <w:rPr>
          <w:color w:val="1F2937"/>
          <w:sz w:val="20"/>
          <w:szCs w:val="20"/>
        </w:rPr>
        <w:t xml:space="preserve">Penambahan atau perubahan di luar rincian pada poin 2 di atas akan dibicarakan dan dihitung secara terpisah.</w:t>
      </w:r>
    </w:p>
    <w:p>
      <w:pPr>
        <w:pStyle w:val="Heading1"/>
        <w:spacing w:after="120" w:before="260"/>
      </w:pPr>
      <w:r>
        <w:rPr>
          <w:b/>
          <w:bCs/>
          <w:color w:val="1F6F4C"/>
          <w:sz w:val="24"/>
          <w:szCs w:val="24"/>
        </w:rPr>
        <w:t xml:space="preserve">4. Jadwal Pengerjaan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00"/>
        <w:gridCol w:w="5200"/>
        <w:gridCol w:w="2100"/>
      </w:tblGrid>
      <w:tr>
        <w:trPr>
          <w:tblHeader/>
        </w:trPr>
        <w:tc>
          <w:tcPr>
            <w:tcW w:type="dxa" w:w="2400"/>
            <w:gridSpan w:val="1"/>
            <w:shd w:fill="EAF3EE" w:color="auto" w:val="clear"/>
            <w:tcMar>
              <w:top w:type="dxa" w:w="80"/>
              <w:left w:type="dxa" w:w="100"/>
              <w:bottom w:type="dxa" w:w="80"/>
              <w:right w:type="dxa" w:w="100"/>
            </w:tcMar>
            <w:vAlign w:val="center"/>
          </w:tcPr>
          <w:p>
            <w:pPr>
              <w:spacing w:after="0"/>
              <w:jc w:val="left"/>
            </w:pPr>
            <w:r>
              <w:rPr>
                <w:b/>
                <w:bCs/>
                <w:color w:val="1F6F4C"/>
                <w:sz w:val="19"/>
                <w:szCs w:val="19"/>
              </w:rPr>
              <w:t xml:space="preserve">TAHAP</w:t>
            </w:r>
          </w:p>
        </w:tc>
        <w:tc>
          <w:tcPr>
            <w:tcW w:type="dxa" w:w="5200"/>
            <w:gridSpan w:val="1"/>
            <w:shd w:fill="EAF3EE" w:color="auto" w:val="clear"/>
            <w:tcMar>
              <w:top w:type="dxa" w:w="80"/>
              <w:left w:type="dxa" w:w="100"/>
              <w:bottom w:type="dxa" w:w="80"/>
              <w:right w:type="dxa" w:w="100"/>
            </w:tcMar>
            <w:vAlign w:val="center"/>
          </w:tcPr>
          <w:p>
            <w:pPr>
              <w:spacing w:after="0"/>
              <w:jc w:val="left"/>
            </w:pPr>
            <w:r>
              <w:rPr>
                <w:b/>
                <w:bCs/>
                <w:color w:val="1F6F4C"/>
                <w:sz w:val="19"/>
                <w:szCs w:val="19"/>
              </w:rPr>
              <w:t xml:space="preserve">KEGIATAN</w:t>
            </w:r>
          </w:p>
        </w:tc>
        <w:tc>
          <w:tcPr>
            <w:tcW w:type="dxa" w:w="2100"/>
            <w:gridSpan w:val="1"/>
            <w:shd w:fill="EAF3EE" w:color="auto" w:val="clear"/>
            <w:tcMar>
              <w:top w:type="dxa" w:w="80"/>
              <w:left w:type="dxa" w:w="100"/>
              <w:bottom w:type="dxa" w:w="80"/>
              <w:right w:type="dxa" w:w="100"/>
            </w:tcMar>
            <w:vAlign w:val="center"/>
          </w:tcPr>
          <w:p>
            <w:pPr>
              <w:spacing w:after="0"/>
              <w:jc w:val="left"/>
            </w:pPr>
            <w:r>
              <w:rPr>
                <w:b/>
                <w:bCs/>
                <w:color w:val="1F6F4C"/>
                <w:sz w:val="19"/>
                <w:szCs w:val="19"/>
              </w:rPr>
              <w:t xml:space="preserve">ESTIMASI WAKTU</w:t>
            </w:r>
          </w:p>
        </w:tc>
      </w:tr>
      <w:tr>
        <w:tc>
          <w:tcPr>
            <w:tcW w:type="dxa" w:w="2400"/>
            <w:gridSpan w:val="1"/>
            <w:tcMar>
              <w:top w:type="dxa" w:w="80"/>
              <w:left w:type="dxa" w:w="100"/>
              <w:bottom w:type="dxa" w:w="80"/>
              <w:right w:type="dxa" w:w="100"/>
            </w:tcMar>
            <w:vAlign w:val="center"/>
          </w:tcPr>
          <w:p>
            <w:pPr>
              <w:spacing w:after="0"/>
              <w:jc w:val="left"/>
            </w:pPr>
            <w:r>
              <w:rPr>
                <w:b/>
                <w:bCs/>
                <w:color w:val="1F2937"/>
                <w:sz w:val="19"/>
                <w:szCs w:val="19"/>
              </w:rPr>
              <w:t xml:space="preserve">Fase 1 — Fondasi</w:t>
            </w:r>
          </w:p>
        </w:tc>
        <w:tc>
          <w:tcPr>
            <w:tcW w:type="dxa" w:w="52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Struktur database, data induk, hak akses, dan antarmuka admin (poin 1–8)</w:t>
            </w:r>
          </w:p>
        </w:tc>
        <w:tc>
          <w:tcPr>
            <w:tcW w:type="dxa" w:w="21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Selesai dikerjakan</w:t>
            </w:r>
          </w:p>
        </w:tc>
      </w:tr>
      <w:tr>
        <w:tc>
          <w:tcPr>
            <w:tcW w:type="dxa" w:w="2400"/>
            <w:gridSpan w:val="1"/>
            <w:tcMar>
              <w:top w:type="dxa" w:w="80"/>
              <w:left w:type="dxa" w:w="100"/>
              <w:bottom w:type="dxa" w:w="80"/>
              <w:right w:type="dxa" w:w="100"/>
            </w:tcMar>
            <w:vAlign w:val="center"/>
          </w:tcPr>
          <w:p>
            <w:pPr>
              <w:spacing w:after="0"/>
              <w:jc w:val="left"/>
            </w:pPr>
            <w:r>
              <w:rPr>
                <w:b/>
                <w:bCs/>
                <w:color w:val="1F2937"/>
                <w:sz w:val="19"/>
                <w:szCs w:val="19"/>
              </w:rPr>
              <w:t xml:space="preserve">Fase 2 — Modul Harian</w:t>
            </w:r>
          </w:p>
        </w:tc>
        <w:tc>
          <w:tcPr>
            <w:tcW w:type="dxa" w:w="52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Login guru, dashboard, jadwal &amp; matriks, absensi, jurnal, penggantian, manajemen tugas (poin 9–16)</w:t>
            </w:r>
          </w:p>
        </w:tc>
        <w:tc>
          <w:tcPr>
            <w:tcW w:type="dxa" w:w="21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4–5 minggu</w:t>
            </w:r>
          </w:p>
        </w:tc>
      </w:tr>
      <w:tr>
        <w:tc>
          <w:tcPr>
            <w:tcW w:type="dxa" w:w="2400"/>
            <w:gridSpan w:val="1"/>
            <w:tcMar>
              <w:top w:type="dxa" w:w="80"/>
              <w:left w:type="dxa" w:w="100"/>
              <w:bottom w:type="dxa" w:w="80"/>
              <w:right w:type="dxa" w:w="100"/>
            </w:tcMar>
            <w:vAlign w:val="center"/>
          </w:tcPr>
          <w:p>
            <w:pPr>
              <w:spacing w:after="0"/>
              <w:jc w:val="left"/>
            </w:pPr>
            <w:r>
              <w:rPr>
                <w:b/>
                <w:bCs/>
                <w:color w:val="1F2937"/>
                <w:sz w:val="19"/>
                <w:szCs w:val="19"/>
              </w:rPr>
              <w:t xml:space="preserve">Fase 3 — Program &amp; Layanan</w:t>
            </w:r>
          </w:p>
        </w:tc>
        <w:tc>
          <w:tcPr>
            <w:tcW w:type="dxa" w:w="52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Kokurikuler, kurikulum, ekstrakurikuler, penilaian sumatif, PID, outing class, supervisi (poin 17–23)</w:t>
            </w:r>
          </w:p>
        </w:tc>
        <w:tc>
          <w:tcPr>
            <w:tcW w:type="dxa" w:w="21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3–4 minggu</w:t>
            </w:r>
          </w:p>
        </w:tc>
      </w:tr>
      <w:tr>
        <w:tc>
          <w:tcPr>
            <w:tcW w:type="dxa" w:w="2400"/>
            <w:gridSpan w:val="1"/>
            <w:tcMar>
              <w:top w:type="dxa" w:w="80"/>
              <w:left w:type="dxa" w:w="100"/>
              <w:bottom w:type="dxa" w:w="80"/>
              <w:right w:type="dxa" w:w="100"/>
            </w:tcMar>
            <w:vAlign w:val="center"/>
          </w:tcPr>
          <w:p>
            <w:pPr>
              <w:spacing w:after="0"/>
              <w:jc w:val="left"/>
            </w:pPr>
            <w:r>
              <w:rPr>
                <w:b/>
                <w:bCs/>
                <w:color w:val="1F2937"/>
                <w:sz w:val="19"/>
                <w:szCs w:val="19"/>
              </w:rPr>
              <w:t xml:space="preserve">Fase 4 — Monitoring &amp; Notifikasi</w:t>
            </w:r>
          </w:p>
        </w:tc>
        <w:tc>
          <w:tcPr>
            <w:tcW w:type="dxa" w:w="52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Monev, monitoring administrasi kelas, notifikasi (poin 24–26)</w:t>
            </w:r>
          </w:p>
        </w:tc>
        <w:tc>
          <w:tcPr>
            <w:tcW w:type="dxa" w:w="21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2–3 minggu</w:t>
            </w:r>
          </w:p>
        </w:tc>
      </w:tr>
      <w:tr>
        <w:tc>
          <w:tcPr>
            <w:tcW w:type="dxa" w:w="2400"/>
            <w:gridSpan w:val="1"/>
            <w:tcMar>
              <w:top w:type="dxa" w:w="80"/>
              <w:left w:type="dxa" w:w="100"/>
              <w:bottom w:type="dxa" w:w="80"/>
              <w:right w:type="dxa" w:w="100"/>
            </w:tcMar>
            <w:vAlign w:val="center"/>
          </w:tcPr>
          <w:p>
            <w:pPr>
              <w:spacing w:after="0"/>
              <w:jc w:val="left"/>
            </w:pPr>
            <w:r>
              <w:rPr>
                <w:b/>
                <w:bCs/>
                <w:color w:val="1F2937"/>
                <w:sz w:val="19"/>
                <w:szCs w:val="19"/>
              </w:rPr>
              <w:t xml:space="preserve">Pengujian &amp; Peluncuran</w:t>
            </w:r>
          </w:p>
        </w:tc>
        <w:tc>
          <w:tcPr>
            <w:tcW w:type="dxa" w:w="52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Uji fungsi bersama sekolah, perbaikan atas temuan/revisi, hingga hasil pekerjaan dinyatakan final</w:t>
            </w:r>
          </w:p>
        </w:tc>
        <w:tc>
          <w:tcPr>
            <w:tcW w:type="dxa" w:w="21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1–2 minggu</w:t>
            </w:r>
          </w:p>
        </w:tc>
      </w:tr>
    </w:tbl>
    <w:p>
      <w:pPr>
        <w:spacing w:after="80" w:before="100"/>
      </w:pPr>
      <w:r>
        <w:rPr>
          <w:i/>
          <w:iCs/>
          <w:color w:val="5B6472"/>
          <w:sz w:val="20"/>
          <w:szCs w:val="20"/>
        </w:rPr>
        <w:t xml:space="preserve">Total estimasi: ±10–14 minggu kerja efektif sejak dokumen ini disetujui, di luar hari yang disepakati untuk peninjauan bersama sekolah.</w:t>
      </w:r>
    </w:p>
    <w:p>
      <w:pPr>
        <w:pStyle w:val="Heading1"/>
        <w:spacing w:after="120" w:before="260"/>
      </w:pPr>
      <w:r>
        <w:rPr>
          <w:b/>
          <w:bCs/>
          <w:color w:val="1F6F4C"/>
          <w:sz w:val="24"/>
          <w:szCs w:val="24"/>
        </w:rPr>
        <w:t xml:space="preserve">5. Rincian Biaya</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00"/>
        <w:gridCol w:w="6700"/>
        <w:gridCol w:w="2400"/>
      </w:tblGrid>
      <w:tr>
        <w:trPr>
          <w:tblHeader/>
        </w:trPr>
        <w:tc>
          <w:tcPr>
            <w:tcW w:type="dxa" w:w="600"/>
            <w:gridSpan w:val="1"/>
            <w:shd w:fill="EAF3EE" w:color="auto" w:val="clear"/>
            <w:tcMar>
              <w:top w:type="dxa" w:w="80"/>
              <w:left w:type="dxa" w:w="100"/>
              <w:bottom w:type="dxa" w:w="80"/>
              <w:right w:type="dxa" w:w="100"/>
            </w:tcMar>
            <w:vAlign w:val="center"/>
          </w:tcPr>
          <w:p>
            <w:pPr>
              <w:spacing w:after="0"/>
              <w:jc w:val="center"/>
            </w:pPr>
            <w:r>
              <w:rPr>
                <w:b/>
                <w:bCs/>
                <w:color w:val="1F6F4C"/>
                <w:sz w:val="19"/>
                <w:szCs w:val="19"/>
              </w:rPr>
              <w:t xml:space="preserve">NO</w:t>
            </w:r>
          </w:p>
        </w:tc>
        <w:tc>
          <w:tcPr>
            <w:tcW w:type="dxa" w:w="6700"/>
            <w:gridSpan w:val="1"/>
            <w:shd w:fill="EAF3EE" w:color="auto" w:val="clear"/>
            <w:tcMar>
              <w:top w:type="dxa" w:w="80"/>
              <w:left w:type="dxa" w:w="100"/>
              <w:bottom w:type="dxa" w:w="80"/>
              <w:right w:type="dxa" w:w="100"/>
            </w:tcMar>
            <w:vAlign w:val="center"/>
          </w:tcPr>
          <w:p>
            <w:pPr>
              <w:spacing w:after="0"/>
              <w:jc w:val="left"/>
            </w:pPr>
            <w:r>
              <w:rPr>
                <w:b/>
                <w:bCs/>
                <w:color w:val="1F6F4C"/>
                <w:sz w:val="19"/>
                <w:szCs w:val="19"/>
              </w:rPr>
              <w:t xml:space="preserve">URAIAN</w:t>
            </w:r>
          </w:p>
        </w:tc>
        <w:tc>
          <w:tcPr>
            <w:tcW w:type="dxa" w:w="2400"/>
            <w:gridSpan w:val="1"/>
            <w:shd w:fill="EAF3EE" w:color="auto" w:val="clear"/>
            <w:tcMar>
              <w:top w:type="dxa" w:w="80"/>
              <w:left w:type="dxa" w:w="100"/>
              <w:bottom w:type="dxa" w:w="80"/>
              <w:right w:type="dxa" w:w="100"/>
            </w:tcMar>
            <w:vAlign w:val="center"/>
          </w:tcPr>
          <w:p>
            <w:pPr>
              <w:spacing w:after="0"/>
              <w:jc w:val="right"/>
            </w:pPr>
            <w:r>
              <w:rPr>
                <w:b/>
                <w:bCs/>
                <w:color w:val="1F6F4C"/>
                <w:sz w:val="19"/>
                <w:szCs w:val="19"/>
              </w:rPr>
              <w:t xml:space="preserve">BIAYA</w:t>
            </w:r>
          </w:p>
        </w:tc>
      </w:tr>
      <w:tr>
        <w:tc>
          <w:tcPr>
            <w:tcW w:type="dxa" w:w="600"/>
            <w:gridSpan w:val="1"/>
            <w:tcMar>
              <w:top w:type="dxa" w:w="80"/>
              <w:left w:type="dxa" w:w="100"/>
              <w:bottom w:type="dxa" w:w="80"/>
              <w:right w:type="dxa" w:w="100"/>
            </w:tcMar>
            <w:vAlign w:val="center"/>
          </w:tcPr>
          <w:p>
            <w:pPr>
              <w:spacing w:after="0"/>
              <w:jc w:val="center"/>
            </w:pPr>
            <w:r>
              <w:rPr>
                <w:b w:val="false"/>
                <w:bCs w:val="false"/>
                <w:color w:val="1F2937"/>
                <w:sz w:val="19"/>
                <w:szCs w:val="19"/>
              </w:rPr>
              <w:t xml:space="preserve">1</w:t>
            </w:r>
          </w:p>
        </w:tc>
        <w:tc>
          <w:tcPr>
            <w:tcW w:type="dxa" w:w="6700"/>
            <w:gridSpan w:val="1"/>
            <w:tcMar>
              <w:top w:type="dxa" w:w="80"/>
              <w:left w:type="dxa" w:w="100"/>
              <w:bottom w:type="dxa" w:w="80"/>
              <w:right w:type="dxa" w:w="100"/>
            </w:tcMar>
            <w:vAlign w:val="center"/>
          </w:tcPr>
          <w:p>
            <w:pPr>
              <w:spacing w:after="0"/>
              <w:jc w:val="left"/>
            </w:pPr>
            <w:r>
              <w:rPr>
                <w:b w:val="false"/>
                <w:bCs w:val="false"/>
                <w:color w:val="1F2937"/>
                <w:sz w:val="19"/>
                <w:szCs w:val="19"/>
              </w:rPr>
              <w:t xml:space="preserve">Pengembangan Aplikasi Portal Guru — Seluruh Modul (Poin 1–26 di atas), termasuk masa pengujian hingga final</w:t>
            </w:r>
          </w:p>
        </w:tc>
        <w:tc>
          <w:tcPr>
            <w:tcW w:type="dxa" w:w="2400"/>
            <w:gridSpan w:val="1"/>
            <w:tcMar>
              <w:top w:type="dxa" w:w="80"/>
              <w:left w:type="dxa" w:w="100"/>
              <w:bottom w:type="dxa" w:w="80"/>
              <w:right w:type="dxa" w:w="100"/>
            </w:tcMar>
            <w:vAlign w:val="center"/>
          </w:tcPr>
          <w:p>
            <w:pPr>
              <w:spacing w:after="0"/>
              <w:jc w:val="right"/>
            </w:pPr>
            <w:r>
              <w:rPr>
                <w:b w:val="false"/>
                <w:bCs w:val="false"/>
                <w:color w:val="1F2937"/>
                <w:sz w:val="19"/>
                <w:szCs w:val="19"/>
              </w:rPr>
              <w:t xml:space="preserve">Rp 3.000.000</w:t>
            </w:r>
          </w:p>
        </w:tc>
      </w:tr>
      <w:tr>
        <w:tc>
          <w:tcPr>
            <w:tcW w:type="dxa" w:w="600"/>
            <w:gridSpan w:val="1"/>
            <w:shd w:fill="F2F2F2" w:color="auto" w:val="clear"/>
            <w:tcMar>
              <w:top w:type="dxa" w:w="80"/>
              <w:left w:type="dxa" w:w="100"/>
              <w:bottom w:type="dxa" w:w="80"/>
              <w:right w:type="dxa" w:w="100"/>
            </w:tcMar>
            <w:vAlign w:val="center"/>
          </w:tcPr>
          <w:p>
            <w:pPr>
              <w:spacing w:after="0"/>
              <w:jc w:val="left"/>
            </w:pPr>
            <w:r>
              <w:rPr>
                <w:b w:val="false"/>
                <w:bCs w:val="false"/>
                <w:color w:val="1F2937"/>
                <w:sz w:val="19"/>
                <w:szCs w:val="19"/>
              </w:rPr>
              <w:t xml:space="preserve"/>
            </w:r>
          </w:p>
        </w:tc>
        <w:tc>
          <w:tcPr>
            <w:tcW w:type="dxa" w:w="6700"/>
            <w:gridSpan w:val="1"/>
            <w:shd w:fill="F2F2F2" w:color="auto" w:val="clear"/>
            <w:tcMar>
              <w:top w:type="dxa" w:w="80"/>
              <w:left w:type="dxa" w:w="100"/>
              <w:bottom w:type="dxa" w:w="80"/>
              <w:right w:type="dxa" w:w="100"/>
            </w:tcMar>
            <w:vAlign w:val="center"/>
          </w:tcPr>
          <w:p>
            <w:pPr>
              <w:spacing w:after="0"/>
              <w:jc w:val="left"/>
            </w:pPr>
            <w:r>
              <w:rPr>
                <w:b/>
                <w:bCs/>
                <w:color w:val="1F2937"/>
                <w:sz w:val="19"/>
                <w:szCs w:val="19"/>
              </w:rPr>
              <w:t xml:space="preserve">Total</w:t>
            </w:r>
          </w:p>
        </w:tc>
        <w:tc>
          <w:tcPr>
            <w:tcW w:type="dxa" w:w="2400"/>
            <w:gridSpan w:val="1"/>
            <w:shd w:fill="F2F2F2" w:color="auto" w:val="clear"/>
            <w:tcMar>
              <w:top w:type="dxa" w:w="80"/>
              <w:left w:type="dxa" w:w="100"/>
              <w:bottom w:type="dxa" w:w="80"/>
              <w:right w:type="dxa" w:w="100"/>
            </w:tcMar>
            <w:vAlign w:val="center"/>
          </w:tcPr>
          <w:p>
            <w:pPr>
              <w:spacing w:after="0"/>
              <w:jc w:val="right"/>
            </w:pPr>
            <w:r>
              <w:rPr>
                <w:b/>
                <w:bCs/>
                <w:color w:val="1F2937"/>
                <w:sz w:val="19"/>
                <w:szCs w:val="19"/>
              </w:rPr>
              <w:t xml:space="preserve">Rp 3.000.000</w:t>
            </w:r>
          </w:p>
        </w:tc>
      </w:tr>
    </w:tbl>
    <w:p>
      <w:pPr>
        <w:pStyle w:val="Heading1"/>
        <w:spacing w:after="120" w:before="260"/>
      </w:pPr>
      <w:r>
        <w:rPr>
          <w:b/>
          <w:bCs/>
          <w:color w:val="1F6F4C"/>
          <w:sz w:val="24"/>
          <w:szCs w:val="24"/>
        </w:rPr>
        <w:t xml:space="preserve">6. Skema Pembayaran</w:t>
      </w:r>
    </w:p>
    <w:p>
      <w:pPr>
        <w:spacing w:after="80" w:before="0"/>
        <w:ind w:left="360" w:hanging="200"/>
      </w:pPr>
      <w:r>
        <w:rPr>
          <w:b/>
          <w:bCs/>
          <w:color w:val="1F6F4C"/>
          <w:sz w:val="20"/>
          <w:szCs w:val="20"/>
        </w:rPr>
        <w:t xml:space="preserve">•  </w:t>
      </w:r>
      <w:r>
        <w:rPr>
          <w:color w:val="1F2937"/>
          <w:sz w:val="20"/>
          <w:szCs w:val="20"/>
        </w:rPr>
        <w:t xml:space="preserve">Uang Muka (DP): Rp 1.500.000 — dibayar sebelum pengerjaan dimulai</w:t>
      </w:r>
    </w:p>
    <w:p>
      <w:pPr>
        <w:spacing w:after="80" w:before="0"/>
        <w:ind w:left="360" w:hanging="200"/>
      </w:pPr>
      <w:r>
        <w:rPr>
          <w:b/>
          <w:bCs/>
          <w:color w:val="1F6F4C"/>
          <w:sz w:val="20"/>
          <w:szCs w:val="20"/>
        </w:rPr>
        <w:t xml:space="preserve">•  </w:t>
      </w:r>
      <w:r>
        <w:rPr>
          <w:color w:val="1F2937"/>
          <w:sz w:val="20"/>
          <w:szCs w:val="20"/>
        </w:rPr>
        <w:t xml:space="preserve">Pelunasan: Rp 1.500.000 — dibayar setelah hasil pengujian dinyatakan final</w:t>
      </w:r>
    </w:p>
    <w:p>
      <w:pPr>
        <w:spacing w:after="60" w:before="140"/>
      </w:pPr>
      <w:r>
        <w:rPr>
          <w:b/>
          <w:bCs/>
          <w:color w:val="1F2937"/>
          <w:sz w:val="20"/>
          <w:szCs w:val="20"/>
        </w:rPr>
        <w:t xml:space="preserve">Rekening Tujuan Transfer</w:t>
      </w:r>
    </w:p>
    <w:p>
      <w:pPr>
        <w:spacing w:after="20" w:before="0"/>
      </w:pPr>
      <w:r>
        <w:rPr>
          <w:color w:val="1F2937"/>
          <w:sz w:val="20"/>
          <w:szCs w:val="20"/>
        </w:rPr>
        <w:t xml:space="preserve">Bank: BRI</w:t>
      </w:r>
    </w:p>
    <w:p>
      <w:pPr>
        <w:spacing w:after="20" w:before="0"/>
      </w:pPr>
      <w:r>
        <w:rPr>
          <w:color w:val="1F2937"/>
          <w:sz w:val="20"/>
          <w:szCs w:val="20"/>
        </w:rPr>
        <w:t xml:space="preserve">No. Rekening: 2232 0105 5045 503</w:t>
      </w:r>
    </w:p>
    <w:p>
      <w:pPr>
        <w:spacing w:after="0" w:before="0"/>
      </w:pPr>
      <w:r>
        <w:rPr>
          <w:color w:val="1F2937"/>
          <w:sz w:val="20"/>
          <w:szCs w:val="20"/>
        </w:rPr>
        <w:t xml:space="preserve">Atas Nama: Budi Aulyansyah Ahmad Trisna</w:t>
      </w:r>
    </w:p>
    <w:p>
      <w:pPr>
        <w:pStyle w:val="Heading1"/>
        <w:spacing w:after="120" w:before="260"/>
      </w:pPr>
      <w:r>
        <w:rPr>
          <w:b/>
          <w:bCs/>
          <w:color w:val="1F6F4C"/>
          <w:sz w:val="24"/>
          <w:szCs w:val="24"/>
        </w:rPr>
        <w:t xml:space="preserve">7. Layanan Pemeliharaan (Maintenance) Pascapengerjaan</w:t>
      </w:r>
    </w:p>
    <w:p>
      <w:pPr>
        <w:spacing w:after="80" w:before="0"/>
        <w:ind w:left="360" w:hanging="200"/>
      </w:pPr>
      <w:r>
        <w:rPr>
          <w:b/>
          <w:bCs/>
          <w:color w:val="1F6F4C"/>
          <w:sz w:val="20"/>
          <w:szCs w:val="20"/>
        </w:rPr>
        <w:t xml:space="preserve">•  </w:t>
      </w:r>
      <w:r>
        <w:rPr>
          <w:color w:val="1F2937"/>
          <w:sz w:val="20"/>
          <w:szCs w:val="20"/>
        </w:rPr>
        <w:t xml:space="preserve">Disediakan layanan pemeliharaan untuk perbaikan masalah internal sistem (bug/error pada sistem yang sudah dibangun, bukan penambahan fitur baru) selama 6 (enam) bulan terhitung sejak aplikasi resmi dipublikasikan (go-live).</w:t>
      </w:r>
    </w:p>
    <w:p>
      <w:pPr>
        <w:spacing w:after="80" w:before="0"/>
        <w:ind w:left="360" w:hanging="200"/>
      </w:pPr>
      <w:r>
        <w:rPr>
          <w:b/>
          <w:bCs/>
          <w:color w:val="1F6F4C"/>
          <w:sz w:val="20"/>
          <w:szCs w:val="20"/>
        </w:rPr>
        <w:t xml:space="preserve">•  </w:t>
      </w:r>
      <w:r>
        <w:rPr>
          <w:color w:val="1F2937"/>
          <w:sz w:val="20"/>
          <w:szCs w:val="20"/>
        </w:rPr>
        <w:t xml:space="preserve">Biaya layanan pemeliharaan ini Rp 500.000 (flat) untuk keseluruhan periode 6 bulan tersebut, dibayarkan terpisah dari biaya pengembangan pada poin 5.</w:t>
      </w:r>
    </w:p>
    <w:p>
      <w:pPr>
        <w:spacing w:after="80" w:before="0"/>
        <w:ind w:left="360" w:hanging="200"/>
      </w:pPr>
      <w:r>
        <w:rPr>
          <w:b/>
          <w:bCs/>
          <w:color w:val="1F6F4C"/>
          <w:sz w:val="20"/>
          <w:szCs w:val="20"/>
        </w:rPr>
        <w:t xml:space="preserve">•  </w:t>
      </w:r>
      <w:r>
        <w:rPr>
          <w:color w:val="1F2937"/>
          <w:sz w:val="20"/>
          <w:szCs w:val="20"/>
        </w:rPr>
        <w:t xml:space="preserve">Di luar cakupan layanan ini: penambahan fitur baru, perubahan alur kerja/proses bisnis, dan masalah yang timbul akibat perubahan di luar sistem (mis. perubahan hosting/domain/server oleh pihak lain).</w:t>
      </w:r>
    </w:p>
    <w:p>
      <w:pPr>
        <w:pStyle w:val="Heading1"/>
        <w:spacing w:after="120" w:before="260"/>
      </w:pPr>
      <w:r>
        <w:rPr>
          <w:b/>
          <w:bCs/>
          <w:color w:val="1F6F4C"/>
          <w:sz w:val="24"/>
          <w:szCs w:val="24"/>
        </w:rPr>
        <w:t xml:space="preserve">8. Ketentuan</w:t>
      </w:r>
    </w:p>
    <w:p>
      <w:pPr>
        <w:spacing w:after="80" w:before="0"/>
        <w:ind w:left="360" w:hanging="200"/>
      </w:pPr>
      <w:r>
        <w:rPr>
          <w:b/>
          <w:bCs/>
          <w:color w:val="1F6F4C"/>
          <w:sz w:val="20"/>
          <w:szCs w:val="20"/>
        </w:rPr>
        <w:t xml:space="preserve">•  </w:t>
      </w:r>
      <w:r>
        <w:rPr>
          <w:color w:val="1F2937"/>
          <w:sz w:val="20"/>
          <w:szCs w:val="20"/>
        </w:rPr>
        <w:t xml:space="preserve">Revisi minor yang ditemukan selama masa pengujian sudah termasuk dalam biaya pada poin 5.</w:t>
      </w:r>
    </w:p>
    <w:p>
      <w:pPr>
        <w:spacing w:after="80" w:before="0"/>
        <w:ind w:left="360" w:hanging="200"/>
      </w:pPr>
      <w:r>
        <w:rPr>
          <w:b/>
          <w:bCs/>
          <w:color w:val="1F6F4C"/>
          <w:sz w:val="20"/>
          <w:szCs w:val="20"/>
        </w:rPr>
        <w:t xml:space="preserve">•  </w:t>
      </w:r>
      <w:r>
        <w:rPr>
          <w:color w:val="1F2937"/>
          <w:sz w:val="20"/>
          <w:szCs w:val="20"/>
        </w:rPr>
        <w:t xml:space="preserve">Penambahan atau perubahan ruang lingkup di luar poin 2 akan dibicarakan dan dihitung secara terpisah.</w:t>
      </w:r>
    </w:p>
    <w:p>
      <w:pPr>
        <w:spacing w:after="80" w:before="0"/>
        <w:ind w:left="360" w:hanging="200"/>
      </w:pPr>
      <w:r>
        <w:rPr>
          <w:b/>
          <w:bCs/>
          <w:color w:val="1F6F4C"/>
          <w:sz w:val="20"/>
          <w:szCs w:val="20"/>
        </w:rPr>
        <w:t xml:space="preserve">•  </w:t>
      </w:r>
      <w:r>
        <w:rPr>
          <w:color w:val="1F2937"/>
          <w:sz w:val="20"/>
          <w:szCs w:val="20"/>
        </w:rPr>
        <w:t xml:space="preserve">Estimasi waktu pengembangan dihitung dalam hari/minggu kerja efektif, di luar hari yang disepakati untuk peninjauan bersama sekolah.</w:t>
      </w:r>
    </w:p>
    <w:p>
      <w:pPr>
        <w:spacing w:after="80" w:before="0"/>
        <w:ind w:left="360" w:hanging="200"/>
      </w:pPr>
      <w:r>
        <w:rPr>
          <w:b/>
          <w:bCs/>
          <w:color w:val="1F6F4C"/>
          <w:sz w:val="20"/>
          <w:szCs w:val="20"/>
        </w:rPr>
        <w:t xml:space="preserve">•  </w:t>
      </w:r>
      <w:r>
        <w:rPr>
          <w:color w:val="1F2937"/>
          <w:sz w:val="20"/>
          <w:szCs w:val="20"/>
        </w:rPr>
        <w:t xml:space="preserve">Pengerjaan dimulai setelah uang muka (DP) diterima.</w:t>
      </w:r>
    </w:p>
    <w:p>
      <w:pPr>
        <w:spacing w:after="80" w:before="0"/>
        <w:ind w:left="360" w:hanging="200"/>
      </w:pPr>
      <w:r>
        <w:rPr>
          <w:b/>
          <w:bCs/>
          <w:color w:val="1F6F4C"/>
          <w:sz w:val="20"/>
          <w:szCs w:val="20"/>
        </w:rPr>
        <w:t xml:space="preserve">•  </w:t>
      </w:r>
      <w:r>
        <w:rPr>
          <w:color w:val="1F2937"/>
          <w:sz w:val="20"/>
          <w:szCs w:val="20"/>
        </w:rPr>
        <w:t xml:space="preserve">Dokumen ini merupakan revisi dan menggantikan sepenuhnya penawaran No. PG/IX/2026-01 tertanggal 11 September 2026 sebelumnya.</w:t>
      </w:r>
    </w:p>
    <w:p>
      <w:pPr>
        <w:spacing w:after="20" w:before="300"/>
        <w:jc w:val="right"/>
      </w:pPr>
      <w:r>
        <w:rPr>
          <w:color w:val="1F2937"/>
          <w:sz w:val="20"/>
          <w:szCs w:val="20"/>
        </w:rPr>
        <w:t xml:space="preserve">Palangka Raya, 11 September 2026</w:t>
      </w:r>
    </w:p>
    <w:p>
      <w:pPr>
        <w:spacing w:after="20" w:before="600"/>
        <w:jc w:val="right"/>
      </w:pPr>
      <w:r>
        <w:rPr>
          <w:b/>
          <w:bCs/>
          <w:color w:val="1F2937"/>
          <w:sz w:val="20"/>
          <w:szCs w:val="20"/>
        </w:rPr>
        <w:t xml:space="preserve">Budi Aulyansyah Ahmad Trisna</w:t>
      </w:r>
    </w:p>
    <w:p>
      <w:pPr>
        <w:spacing w:after="300"/>
        <w:jc w:val="right"/>
      </w:pPr>
      <w:r>
        <w:rPr>
          <w:color w:val="5B6472"/>
          <w:sz w:val="18"/>
          <w:szCs w:val="18"/>
        </w:rPr>
        <w:t xml:space="preserve">Pengembang Aplikasi</w:t>
      </w:r>
    </w:p>
    <w:p>
      <w:pPr>
        <w:pBdr>
          <w:top w:val="single" w:color="BFBFBF" w:sz="4" w:space="8"/>
        </w:pBdr>
        <w:spacing w:after="0" w:before="200"/>
        <w:jc w:val="center"/>
      </w:pPr>
      <w:r>
        <w:rPr>
          <w:i/>
          <w:iCs/>
          <w:color w:val="5B6472"/>
          <w:sz w:val="16"/>
          <w:szCs w:val="16"/>
        </w:rPr>
        <w:t xml:space="preserve">Portal Guru — SD Islam Darussalam Palangka Raya</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2026-09-11T04:58:24.689Z</dcterms:created>
  <dcterms:modified xsi:type="dcterms:W3CDTF">2026-09-11T04:58:24.691Z</dcterms:modified>
</cp:coreProperties>
</file>

<file path=docProps/custom.xml><?xml version="1.0" encoding="utf-8"?>
<Properties xmlns="http://schemas.openxmlformats.org/officeDocument/2006/custom-properties" xmlns:vt="http://schemas.openxmlformats.org/officeDocument/2006/docPropsVTypes"/>
</file>