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Politique industrielle pour l’ère de l’intelligence</w:t>
      </w:r>
    </w:p>
    <w:p>
      <w:r>
        <w:t>Des idées pour placer l’humain au centre</w:t>
      </w:r>
    </w:p>
    <w:p>
      <w:r>
        <w:t>Avril 2026</w:t>
      </w:r>
    </w:p>
    <w:p/>
    <w:p>
      <w:r>
        <w:t>Ouvrons la discussion</w:t>
      </w:r>
    </w:p>
    <w:p/>
    <w:p>
      <w:r>
        <w:t>La volonté de comprendre a toujours été le moteur du progrès humain — créant une dynamique continue allant de la science à la technologie, de la technologie à la découverte, puis à nouveau vers la science.</w:t>
      </w:r>
    </w:p>
    <w:p/>
    <w:p>
      <w:r>
        <w:t>Ce mouvement nous a menés à transformer le sable en semi-conducteurs, à structurer la matière à l’échelle atomique pour créer des puces informatiques, à faire circuler de l’énergie dans ces systèmes, et à construire des intelligences artificielles de plus en plus puissantes.</w:t>
      </w:r>
    </w:p>
    <w:p/>
    <w:p>
      <w:r>
        <w:t>En quelques années seulement, l’IA est passée de systèmes capables d’exécuter des tâches simples et ciblées à des modèles capables d’accomplir des tâches générales qui prenaient auparavant des heures aux humains.</w:t>
      </w:r>
    </w:p>
    <w:p/>
    <w:p>
      <w:r>
        <w:t>Nous entrons maintenant dans une transition vers la superintelligence : des systèmes capables de surpasser les meilleurs humains, même assistés par l’IA.</w:t>
      </w:r>
    </w:p>
    <w:p/>
    <w:p>
      <w:r>
        <w:t>Personne ne sait exactement comment cette transition va se dérouler.</w:t>
      </w:r>
    </w:p>
    <w:p/>
    <w:p>
      <w:r>
        <w:t>Ce que nous pensons, c’est qu’elle doit être pilotée démocratiquement, en donnant aux individus un véritable pouvoir pour façonner l’avenir de l’IA, tout en se préparant à différents scénarios.</w:t>
      </w:r>
    </w:p>
    <w:p/>
    <w:p>
      <w:r>
        <w:t>Une promesse immense… et des risques réels</w:t>
      </w:r>
    </w:p>
    <w:p/>
    <w:p>
      <w:r>
        <w:t>La superintelligence pourrait transformer le monde comme l’électricité a transformé les foyers, le moteur thermique les transports, et la production de masse l’accès aux biens.</w:t>
      </w:r>
    </w:p>
    <w:p/>
    <w:p>
      <w:r>
        <w:t>Elle pourrait accélérer les découvertes scientifiques et médicales, augmenter la productivité, réduire le coût de la vie et créer de nouvelles formes de travail.</w:t>
      </w:r>
    </w:p>
    <w:p/>
    <w:p>
      <w:r>
        <w:t>Mais les risques sont réels : disparition d’emplois, usages malveillants, perte de contrôle, dérives autoritaires et concentration des richesses.</w:t>
      </w:r>
    </w:p>
    <w:p/>
    <w:p>
      <w:r>
        <w:t>Trois objectifs fondamentaux</w:t>
      </w:r>
    </w:p>
    <w:p/>
    <w:p>
      <w:r>
        <w:t>1. Partager largement la prospérité</w:t>
      </w:r>
    </w:p>
    <w:p>
      <w:r>
        <w:t>2. Réduire les risques</w:t>
      </w:r>
    </w:p>
    <w:p>
      <w:r>
        <w:t>3. Démocratiser l’accès et le pouvoir d’agir</w:t>
      </w:r>
    </w:p>
    <w:p/>
    <w:p>
      <w:r>
        <w:t>Pourquoi une nouvelle politique industrielle ?</w:t>
      </w:r>
    </w:p>
    <w:p/>
    <w:p>
      <w:r>
        <w:t>Comme lors des révolutions industrielles passées, il faut adapter le contrat social.</w:t>
      </w:r>
    </w:p>
    <w:p/>
    <w:p>
      <w:r>
        <w:t>Objectif global</w:t>
      </w:r>
    </w:p>
    <w:p/>
    <w:p>
      <w:r>
        <w:t>Construire une économie de l’IA ouverte, résiliente et équitable.</w:t>
      </w:r>
    </w:p>
    <w:p/>
    <w:p>
      <w:r>
        <w:t>Pourquoi ce document existe</w:t>
      </w:r>
    </w:p>
    <w:p/>
    <w:p>
      <w:r>
        <w:t>C’est un point de départ pour un débat collectif impliquant gouvernements, entreprises et citoyens.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