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 w:val="0"/>
          <w:i w:val="0"/>
          <w:sz w:val="24"/>
        </w:rPr>
      </w:r>
    </w:p>
    <w:p>
      <w:pPr>
        <w:spacing w:after="240"/>
      </w:pPr>
      <w:r>
        <w:rPr>
          <w:rFonts w:ascii="Calibri" w:hAnsi="Calibri"/>
          <w:b w:val="0"/>
          <w:i w:val="0"/>
          <w:sz w:val="24"/>
        </w:rPr>
      </w:r>
    </w:p>
    <w:p>
      <w:pPr>
        <w:spacing w:after="240"/>
      </w:pPr>
      <w:r>
        <w:rPr>
          <w:rFonts w:ascii="Calibri" w:hAnsi="Calibri"/>
          <w:b w:val="0"/>
          <w:i w:val="0"/>
          <w:sz w:val="24"/>
        </w:rPr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sz w:val="72"/>
        </w:rPr>
        <w:t>🏗️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0F172A"/>
          <w:sz w:val="56"/>
        </w:rPr>
        <w:t>PLANNING DE RÉALISATION</w:t>
      </w:r>
    </w:p>
    <w:p>
      <w:pPr>
        <w:spacing w:after="80"/>
        <w:jc w:val="center"/>
      </w:pPr>
      <w:r>
        <w:rPr>
          <w:color w:val="3B82F6"/>
          <w:sz w:val="20"/>
        </w:rPr>
        <w:t>━━━━━━━━━━━━━━━━━━━━━━━━━━━━━━</w:t>
      </w:r>
    </w:p>
    <w:p>
      <w:pPr>
        <w:spacing w:after="400"/>
        <w:jc w:val="center"/>
      </w:pPr>
      <w:r>
        <w:rPr>
          <w:rFonts w:ascii="Calibri" w:hAnsi="Calibri"/>
          <w:b w:val="0"/>
          <w:i w:val="0"/>
          <w:color w:val="64748B"/>
          <w:sz w:val="28"/>
        </w:rPr>
        <w:t>Réalisation des travaux d'un pôle médical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F5FF"/>
            <w:tcBorders>
              <w:top w:val="single" w:sz="4" w:space="0" w:color="D0DCEE"/>
              <w:left w:val="single" w:sz="4" w:space="0" w:color="D0DCEE"/>
              <w:bottom w:val="single" w:sz="4" w:space="0" w:color="D0DCEE"/>
              <w:right w:val="single" w:sz="4" w:space="0" w:color="D0DCE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B82F6"/>
                <w:sz w:val="20"/>
              </w:rPr>
              <w:t>Objet</w:t>
            </w:r>
          </w:p>
        </w:tc>
        <w:tc>
          <w:tcPr>
            <w:tcW w:type="dxa" w:w="5669"/>
            <w:tcBorders>
              <w:top w:val="single" w:sz="4" w:space="0" w:color="D0DCEE"/>
              <w:left w:val="single" w:sz="4" w:space="0" w:color="D0DCEE"/>
              <w:bottom w:val="single" w:sz="4" w:space="0" w:color="D0DCEE"/>
              <w:right w:val="single" w:sz="4" w:space="0" w:color="D0DCEE"/>
            </w:tcBorders>
          </w:tcPr>
          <w:p>
            <w:r>
              <w:rPr>
                <w:rFonts w:ascii="Calibri" w:hAnsi="Calibri"/>
                <w:color w:val="334155"/>
                <w:sz w:val="20"/>
              </w:rPr>
              <w:t>Planning de réalisation — Pôle médical</w:t>
            </w:r>
          </w:p>
        </w:tc>
      </w:tr>
      <w:tr>
        <w:tc>
          <w:tcPr>
            <w:tcW w:type="dxa" w:w="2835"/>
            <w:shd w:fill="F0F5FF"/>
            <w:tcBorders>
              <w:top w:val="single" w:sz="4" w:space="0" w:color="D0DCEE"/>
              <w:left w:val="single" w:sz="4" w:space="0" w:color="D0DCEE"/>
              <w:bottom w:val="single" w:sz="4" w:space="0" w:color="D0DCEE"/>
              <w:right w:val="single" w:sz="4" w:space="0" w:color="D0DCE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B82F6"/>
                <w:sz w:val="20"/>
              </w:rPr>
              <w:t>Délai d'exécution</w:t>
            </w:r>
          </w:p>
        </w:tc>
        <w:tc>
          <w:tcPr>
            <w:tcW w:type="dxa" w:w="5669"/>
            <w:tcBorders>
              <w:top w:val="single" w:sz="4" w:space="0" w:color="D0DCEE"/>
              <w:left w:val="single" w:sz="4" w:space="0" w:color="D0DCEE"/>
              <w:bottom w:val="single" w:sz="4" w:space="0" w:color="D0DCEE"/>
              <w:right w:val="single" w:sz="4" w:space="0" w:color="D0DCEE"/>
            </w:tcBorders>
          </w:tcPr>
          <w:p>
            <w:r>
              <w:rPr>
                <w:rFonts w:ascii="Calibri" w:hAnsi="Calibri"/>
                <w:color w:val="334155"/>
                <w:sz w:val="20"/>
              </w:rPr>
              <w:t>À partir de l'ODS notifié au service co-contractant par le service contractant</w:t>
            </w:r>
          </w:p>
        </w:tc>
      </w:tr>
      <w:tr>
        <w:tc>
          <w:tcPr>
            <w:tcW w:type="dxa" w:w="2835"/>
            <w:shd w:fill="F0F5FF"/>
            <w:tcBorders>
              <w:top w:val="single" w:sz="4" w:space="0" w:color="D0DCEE"/>
              <w:left w:val="single" w:sz="4" w:space="0" w:color="D0DCEE"/>
              <w:bottom w:val="single" w:sz="4" w:space="0" w:color="D0DCEE"/>
              <w:right w:val="single" w:sz="4" w:space="0" w:color="D0DCE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B82F6"/>
                <w:sz w:val="20"/>
              </w:rPr>
              <w:t>Version 1</w:t>
            </w:r>
          </w:p>
        </w:tc>
        <w:tc>
          <w:tcPr>
            <w:tcW w:type="dxa" w:w="5669"/>
            <w:tcBorders>
              <w:top w:val="single" w:sz="4" w:space="0" w:color="D0DCEE"/>
              <w:left w:val="single" w:sz="4" w:space="0" w:color="D0DCEE"/>
              <w:bottom w:val="single" w:sz="4" w:space="0" w:color="D0DCEE"/>
              <w:right w:val="single" w:sz="4" w:space="0" w:color="D0DCEE"/>
            </w:tcBorders>
          </w:tcPr>
          <w:p>
            <w:r>
              <w:rPr>
                <w:rFonts w:ascii="Calibri" w:hAnsi="Calibri"/>
                <w:color w:val="334155"/>
                <w:sz w:val="20"/>
              </w:rPr>
              <w:t>Délai de 24 mois</w:t>
            </w:r>
          </w:p>
        </w:tc>
      </w:tr>
      <w:tr>
        <w:tc>
          <w:tcPr>
            <w:tcW w:type="dxa" w:w="2835"/>
            <w:shd w:fill="F0F5FF"/>
            <w:tcBorders>
              <w:top w:val="single" w:sz="4" w:space="0" w:color="D0DCEE"/>
              <w:left w:val="single" w:sz="4" w:space="0" w:color="D0DCEE"/>
              <w:bottom w:val="single" w:sz="4" w:space="0" w:color="D0DCEE"/>
              <w:right w:val="single" w:sz="4" w:space="0" w:color="D0DCE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B82F6"/>
                <w:sz w:val="20"/>
              </w:rPr>
              <w:t>Version 2</w:t>
            </w:r>
          </w:p>
        </w:tc>
        <w:tc>
          <w:tcPr>
            <w:tcW w:type="dxa" w:w="5669"/>
            <w:tcBorders>
              <w:top w:val="single" w:sz="4" w:space="0" w:color="D0DCEE"/>
              <w:left w:val="single" w:sz="4" w:space="0" w:color="D0DCEE"/>
              <w:bottom w:val="single" w:sz="4" w:space="0" w:color="D0DCEE"/>
              <w:right w:val="single" w:sz="4" w:space="0" w:color="D0DCEE"/>
            </w:tcBorders>
          </w:tcPr>
          <w:p>
            <w:r>
              <w:rPr>
                <w:rFonts w:ascii="Calibri" w:hAnsi="Calibri"/>
                <w:color w:val="334155"/>
                <w:sz w:val="20"/>
              </w:rPr>
              <w:t>Délai optimisé de 16 mois (facteur ×0.667)</w:t>
            </w:r>
          </w:p>
        </w:tc>
      </w:tr>
      <w:tr>
        <w:tc>
          <w:tcPr>
            <w:tcW w:type="dxa" w:w="2835"/>
            <w:shd w:fill="F0F5FF"/>
            <w:tcBorders>
              <w:top w:val="single" w:sz="4" w:space="0" w:color="D0DCEE"/>
              <w:left w:val="single" w:sz="4" w:space="0" w:color="D0DCEE"/>
              <w:bottom w:val="single" w:sz="4" w:space="0" w:color="D0DCEE"/>
              <w:right w:val="single" w:sz="4" w:space="0" w:color="D0DCE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B82F6"/>
                <w:sz w:val="20"/>
              </w:rPr>
              <w:t>Date du document</w:t>
            </w:r>
          </w:p>
        </w:tc>
        <w:tc>
          <w:tcPr>
            <w:tcW w:type="dxa" w:w="5669"/>
            <w:tcBorders>
              <w:top w:val="single" w:sz="4" w:space="0" w:color="D0DCEE"/>
              <w:left w:val="single" w:sz="4" w:space="0" w:color="D0DCEE"/>
              <w:bottom w:val="single" w:sz="4" w:space="0" w:color="D0DCEE"/>
              <w:right w:val="single" w:sz="4" w:space="0" w:color="D0DCEE"/>
            </w:tcBorders>
          </w:tcPr>
          <w:p>
            <w:r>
              <w:rPr>
                <w:rFonts w:ascii="Calibri" w:hAnsi="Calibri"/>
                <w:color w:val="334155"/>
                <w:sz w:val="20"/>
              </w:rPr>
              <w:t>28/06/2026</w:t>
            </w:r>
          </w:p>
        </w:tc>
      </w:tr>
      <w:tr>
        <w:tc>
          <w:tcPr>
            <w:tcW w:type="dxa" w:w="2835"/>
            <w:shd w:fill="F0F5FF"/>
            <w:tcBorders>
              <w:top w:val="single" w:sz="4" w:space="0" w:color="D0DCEE"/>
              <w:left w:val="single" w:sz="4" w:space="0" w:color="D0DCEE"/>
              <w:bottom w:val="single" w:sz="4" w:space="0" w:color="D0DCEE"/>
              <w:right w:val="single" w:sz="4" w:space="0" w:color="D0DCE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B82F6"/>
                <w:sz w:val="20"/>
              </w:rPr>
              <w:t>Statut</w:t>
            </w:r>
          </w:p>
        </w:tc>
        <w:tc>
          <w:tcPr>
            <w:tcW w:type="dxa" w:w="5669"/>
            <w:tcBorders>
              <w:top w:val="single" w:sz="4" w:space="0" w:color="D0DCEE"/>
              <w:left w:val="single" w:sz="4" w:space="0" w:color="D0DCEE"/>
              <w:bottom w:val="single" w:sz="4" w:space="0" w:color="D0DCEE"/>
              <w:right w:val="single" w:sz="4" w:space="0" w:color="D0DCEE"/>
            </w:tcBorders>
          </w:tcPr>
          <w:p>
            <w:r>
              <w:rPr>
                <w:rFonts w:ascii="Calibri" w:hAnsi="Calibri"/>
                <w:color w:val="334155"/>
                <w:sz w:val="20"/>
              </w:rPr>
              <w:t>Document confidentiel — Usage interne</w:t>
            </w:r>
          </w:p>
        </w:tc>
      </w:tr>
    </w:tbl>
    <w:p>
      <w:pPr>
        <w:spacing w:after="800"/>
      </w:pPr>
      <w:r>
        <w:rPr>
          <w:rFonts w:ascii="Calibri" w:hAnsi="Calibri"/>
          <w:b w:val="0"/>
          <w:i w:val="0"/>
          <w:sz w:val="24"/>
        </w:rPr>
      </w:r>
    </w:p>
    <w:p>
      <w:pPr>
        <w:spacing w:after="600"/>
        <w:jc w:val="center"/>
      </w:pPr>
      <w:r>
        <w:rPr>
          <w:rFonts w:ascii="Calibri" w:hAnsi="Calibri"/>
          <w:b/>
          <w:color w:val="3B82F6"/>
          <w:sz w:val="20"/>
        </w:rPr>
        <w:t>📋  DOCUMENT CONFIDENTIEL — USAGE INTERNE</w:t>
      </w:r>
    </w:p>
    <w:p>
      <w:pPr>
        <w:spacing w:after="0"/>
        <w:jc w:val="center"/>
      </w:pPr>
      <w:r>
        <w:rPr>
          <w:rFonts w:ascii="Calibri" w:hAnsi="Calibri"/>
          <w:b w:val="0"/>
          <w:i/>
          <w:color w:val="969696"/>
          <w:sz w:val="18"/>
        </w:rPr>
        <w:t>Généré le 28/06/2026 à 12:31</w:t>
      </w:r>
    </w:p>
    <w:p>
      <w:r>
        <w:br w:type="page"/>
      </w:r>
    </w:p>
    <w:p>
      <w:pPr>
        <w:spacing w:after="160"/>
      </w:pPr>
      <w:r>
        <w:rPr>
          <w:rFonts w:ascii="Calibri" w:hAnsi="Calibri"/>
          <w:b/>
          <w:i w:val="0"/>
          <w:color w:val="0F172A"/>
          <w:sz w:val="36"/>
        </w:rPr>
        <w:t>Diagramme de Gantt — Version 16 Mois</w:t>
      </w:r>
    </w:p>
    <w:p>
      <w:pPr>
        <w:spacing w:after="200"/>
      </w:pPr>
      <w:r>
        <w:rPr>
          <w:rFonts w:ascii="Calibri" w:hAnsi="Calibri"/>
          <w:b w:val="0"/>
          <w:i w:val="0"/>
          <w:color w:val="64748B"/>
          <w:sz w:val="20"/>
        </w:rPr>
        <w:t>Le diagramme ci-dessous présente le planning de réalisation recalculé sur 16 mois (facteur de compression ×0.667 appliqué à toutes les durées et dates de début par rapport à la version originale de 24 mois).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0F8FF"/>
            <w:tcBorders>
              <w:top w:val="single" w:sz="4" w:space="0" w:color="3B82F6"/>
              <w:left w:val="single" w:sz="4" w:space="0" w:color="3B82F6"/>
              <w:bottom w:val="single" w:sz="4" w:space="0" w:color="3B82F6"/>
              <w:right w:val="single" w:sz="4" w:space="0" w:color="3B82F6"/>
            </w:tcBorders>
          </w:tcPr>
          <w:p>
            <w:r>
              <w:rPr>
                <w:rFonts w:ascii="Calibri" w:hAnsi="Calibri"/>
                <w:b/>
                <w:color w:val="3B82F6"/>
                <w:sz w:val="18"/>
              </w:rPr>
              <w:t xml:space="preserve">Délai d'exécution : </w:t>
            </w:r>
            <w:r>
              <w:rPr>
                <w:rFonts w:ascii="Calibri" w:hAnsi="Calibri"/>
                <w:color w:val="334155"/>
                <w:sz w:val="18"/>
              </w:rPr>
              <w:t>À partir de l'ODS notifié au service co-contractant par le service contractant.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i w:val="0"/>
          <w:sz w:val="1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62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cap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787878"/>
          <w:sz w:val="16"/>
        </w:rPr>
        <w:t>Figure 1 — Diagramme de Gantt interactif, version 16 mois (capture écran)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b/>
          <w:i w:val="0"/>
          <w:color w:val="0F172A"/>
          <w:sz w:val="36"/>
        </w:rPr>
        <w:t>Récapitulatif des tâches</w:t>
      </w:r>
    </w:p>
    <w:p>
      <w:pPr>
        <w:spacing w:after="240"/>
      </w:pPr>
      <w:r>
        <w:rPr>
          <w:rFonts w:ascii="Calibri" w:hAnsi="Calibri"/>
          <w:b w:val="0"/>
          <w:i w:val="0"/>
          <w:color w:val="64748B"/>
          <w:sz w:val="20"/>
        </w:rPr>
        <w:t>Comparaison des durées entre la version 24 mois et la version optimisée 16 mois.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F172A"/>
            <w:tcBorders>
              <w:top w:val="single" w:sz="4" w:space="0" w:color="2A3550"/>
              <w:left w:val="single" w:sz="4" w:space="0" w:color="2A3550"/>
              <w:bottom w:val="single" w:sz="4" w:space="0" w:color="2A3550"/>
              <w:right w:val="single" w:sz="4" w:space="0" w:color="2A355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1568"/>
            <w:shd w:fill="0F172A"/>
            <w:tcBorders>
              <w:top w:val="single" w:sz="4" w:space="0" w:color="2A3550"/>
              <w:left w:val="single" w:sz="4" w:space="0" w:color="2A3550"/>
              <w:bottom w:val="single" w:sz="4" w:space="0" w:color="2A3550"/>
              <w:right w:val="single" w:sz="4" w:space="0" w:color="2A355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Tâche</w:t>
            </w:r>
          </w:p>
        </w:tc>
        <w:tc>
          <w:tcPr>
            <w:tcW w:type="dxa" w:w="1568"/>
            <w:shd w:fill="1E3A5F"/>
            <w:tcBorders>
              <w:top w:val="single" w:sz="4" w:space="0" w:color="2A3550"/>
              <w:left w:val="single" w:sz="4" w:space="0" w:color="2A3550"/>
              <w:bottom w:val="single" w:sz="4" w:space="0" w:color="2A3550"/>
              <w:right w:val="single" w:sz="4" w:space="0" w:color="2A355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V1 (24 mois)</w:t>
            </w:r>
          </w:p>
        </w:tc>
        <w:tc>
          <w:tcPr>
            <w:tcW w:type="dxa" w:w="1568"/>
            <w:shd w:fill="0F172A"/>
            <w:tcBorders>
              <w:top w:val="single" w:sz="4" w:space="0" w:color="2A3550"/>
              <w:left w:val="single" w:sz="4" w:space="0" w:color="2A3550"/>
              <w:bottom w:val="single" w:sz="4" w:space="0" w:color="2A3550"/>
              <w:right w:val="single" w:sz="4" w:space="0" w:color="2A355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→</w:t>
            </w:r>
          </w:p>
        </w:tc>
        <w:tc>
          <w:tcPr>
            <w:tcW w:type="dxa" w:w="1568"/>
            <w:shd w:fill="7C2D12"/>
            <w:tcBorders>
              <w:top w:val="single" w:sz="4" w:space="0" w:color="2A3550"/>
              <w:left w:val="single" w:sz="4" w:space="0" w:color="2A3550"/>
              <w:bottom w:val="single" w:sz="4" w:space="0" w:color="2A3550"/>
              <w:right w:val="single" w:sz="4" w:space="0" w:color="2A355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V2 (16 mois)</w:t>
            </w:r>
          </w:p>
        </w:tc>
        <w:tc>
          <w:tcPr>
            <w:tcW w:type="dxa" w:w="1568"/>
            <w:shd w:fill="7C2D12"/>
            <w:tcBorders>
              <w:top w:val="single" w:sz="4" w:space="0" w:color="2A3550"/>
              <w:left w:val="single" w:sz="4" w:space="0" w:color="2A3550"/>
              <w:bottom w:val="single" w:sz="4" w:space="0" w:color="2A3550"/>
              <w:right w:val="single" w:sz="4" w:space="0" w:color="2A355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Début V2</w:t>
            </w:r>
          </w:p>
        </w:tc>
      </w:tr>
      <w:tr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1</w:t>
            </w:r>
          </w:p>
        </w:tc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8"/>
              </w:rPr>
              <w:t>Installation de chantier</w:t>
            </w:r>
          </w:p>
        </w:tc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3B82F6"/>
                <w:sz w:val="18"/>
              </w:rPr>
              <w:t>15 jours</w:t>
            </w:r>
          </w:p>
        </w:tc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F59E0B"/>
                <w:sz w:val="24"/>
              </w:rPr>
              <w:t>→</w:t>
            </w:r>
          </w:p>
        </w:tc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97316"/>
                <w:sz w:val="18"/>
              </w:rPr>
              <w:t>10 jours</w:t>
            </w:r>
          </w:p>
        </w:tc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M0</w:t>
            </w:r>
          </w:p>
        </w:tc>
      </w:tr>
      <w:tr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2</w:t>
            </w:r>
          </w:p>
        </w:tc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8"/>
              </w:rPr>
              <w:t>Terrassements / Excavations</w:t>
            </w:r>
          </w:p>
        </w:tc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3B82F6"/>
                <w:sz w:val="18"/>
              </w:rPr>
              <w:t>3 mois</w:t>
            </w:r>
          </w:p>
        </w:tc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F59E0B"/>
                <w:sz w:val="24"/>
              </w:rPr>
              <w:t>→</w:t>
            </w:r>
          </w:p>
        </w:tc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97316"/>
                <w:sz w:val="18"/>
              </w:rPr>
              <w:t>2 mois</w:t>
            </w:r>
          </w:p>
        </w:tc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10J</w:t>
            </w:r>
          </w:p>
        </w:tc>
      </w:tr>
      <w:tr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3</w:t>
            </w:r>
          </w:p>
        </w:tc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8"/>
              </w:rPr>
              <w:t>Infrastructure</w:t>
            </w:r>
          </w:p>
        </w:tc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3B82F6"/>
                <w:sz w:val="18"/>
              </w:rPr>
              <w:t>7 mois</w:t>
            </w:r>
          </w:p>
        </w:tc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F59E0B"/>
                <w:sz w:val="24"/>
              </w:rPr>
              <w:t>→</w:t>
            </w:r>
          </w:p>
        </w:tc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97316"/>
                <w:sz w:val="18"/>
              </w:rPr>
              <w:t>5 mois</w:t>
            </w:r>
          </w:p>
        </w:tc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M2</w:t>
            </w:r>
          </w:p>
        </w:tc>
      </w:tr>
      <w:tr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4</w:t>
            </w:r>
          </w:p>
        </w:tc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8"/>
              </w:rPr>
              <w:t>Superstructure</w:t>
            </w:r>
          </w:p>
        </w:tc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3B82F6"/>
                <w:sz w:val="18"/>
              </w:rPr>
              <w:t>12 mois</w:t>
            </w:r>
          </w:p>
        </w:tc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F59E0B"/>
                <w:sz w:val="24"/>
              </w:rPr>
              <w:t>→</w:t>
            </w:r>
          </w:p>
        </w:tc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97316"/>
                <w:sz w:val="18"/>
              </w:rPr>
              <w:t>8 mois</w:t>
            </w:r>
          </w:p>
        </w:tc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M5</w:t>
            </w:r>
          </w:p>
        </w:tc>
      </w:tr>
      <w:tr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5</w:t>
            </w:r>
          </w:p>
        </w:tc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8"/>
              </w:rPr>
              <w:t>Maçonnerie et enduits</w:t>
            </w:r>
          </w:p>
        </w:tc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3B82F6"/>
                <w:sz w:val="18"/>
              </w:rPr>
              <w:t>12 mois</w:t>
            </w:r>
          </w:p>
        </w:tc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F59E0B"/>
                <w:sz w:val="24"/>
              </w:rPr>
              <w:t>→</w:t>
            </w:r>
          </w:p>
        </w:tc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97316"/>
                <w:sz w:val="18"/>
              </w:rPr>
              <w:t>8 mois</w:t>
            </w:r>
          </w:p>
        </w:tc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M5</w:t>
            </w:r>
          </w:p>
        </w:tc>
      </w:tr>
      <w:tr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6</w:t>
            </w:r>
          </w:p>
        </w:tc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8"/>
              </w:rPr>
              <w:t>VRD</w:t>
            </w:r>
          </w:p>
        </w:tc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3B82F6"/>
                <w:sz w:val="18"/>
              </w:rPr>
              <w:t>17 mois</w:t>
            </w:r>
          </w:p>
        </w:tc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F59E0B"/>
                <w:sz w:val="24"/>
              </w:rPr>
              <w:t>→</w:t>
            </w:r>
          </w:p>
        </w:tc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97316"/>
                <w:sz w:val="18"/>
              </w:rPr>
              <w:t>11 mois</w:t>
            </w:r>
          </w:p>
        </w:tc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M2½</w:t>
            </w:r>
          </w:p>
        </w:tc>
      </w:tr>
      <w:tr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7</w:t>
            </w:r>
          </w:p>
        </w:tc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8"/>
              </w:rPr>
              <w:t>Électricité / Plomberie</w:t>
            </w:r>
          </w:p>
        </w:tc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3B82F6"/>
                <w:sz w:val="18"/>
              </w:rPr>
              <w:t>17 mois</w:t>
            </w:r>
          </w:p>
        </w:tc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F59E0B"/>
                <w:sz w:val="24"/>
              </w:rPr>
              <w:t>→</w:t>
            </w:r>
          </w:p>
        </w:tc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97316"/>
                <w:sz w:val="18"/>
              </w:rPr>
              <w:t>11 mois</w:t>
            </w:r>
          </w:p>
        </w:tc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M3</w:t>
            </w:r>
          </w:p>
        </w:tc>
      </w:tr>
      <w:tr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8</w:t>
            </w:r>
          </w:p>
        </w:tc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8"/>
              </w:rPr>
              <w:t>Clim / Chauffage central</w:t>
            </w:r>
          </w:p>
        </w:tc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3B82F6"/>
                <w:sz w:val="18"/>
              </w:rPr>
              <w:t>16 mois</w:t>
            </w:r>
          </w:p>
        </w:tc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F59E0B"/>
                <w:sz w:val="24"/>
              </w:rPr>
              <w:t>→</w:t>
            </w:r>
          </w:p>
        </w:tc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97316"/>
                <w:sz w:val="18"/>
              </w:rPr>
              <w:t>11 mois</w:t>
            </w:r>
          </w:p>
        </w:tc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M3</w:t>
            </w:r>
          </w:p>
        </w:tc>
      </w:tr>
      <w:tr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9</w:t>
            </w:r>
          </w:p>
        </w:tc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8"/>
              </w:rPr>
              <w:t>Finition sol / Peinture</w:t>
            </w:r>
          </w:p>
        </w:tc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3B82F6"/>
                <w:sz w:val="18"/>
              </w:rPr>
              <w:t>13 mois</w:t>
            </w:r>
          </w:p>
        </w:tc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F59E0B"/>
                <w:sz w:val="24"/>
              </w:rPr>
              <w:t>→</w:t>
            </w:r>
          </w:p>
        </w:tc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97316"/>
                <w:sz w:val="18"/>
              </w:rPr>
              <w:t>9 mois</w:t>
            </w:r>
          </w:p>
        </w:tc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M6</w:t>
            </w:r>
          </w:p>
        </w:tc>
      </w:tr>
      <w:tr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10</w:t>
            </w:r>
          </w:p>
        </w:tc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8"/>
              </w:rPr>
              <w:t>Nettoyage</w:t>
            </w:r>
          </w:p>
        </w:tc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3B82F6"/>
                <w:sz w:val="18"/>
              </w:rPr>
              <w:t>2 mois</w:t>
            </w:r>
          </w:p>
        </w:tc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F59E0B"/>
                <w:sz w:val="24"/>
              </w:rPr>
              <w:t>→</w:t>
            </w:r>
          </w:p>
        </w:tc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97316"/>
                <w:sz w:val="18"/>
              </w:rPr>
              <w:t>1 mois ½</w:t>
            </w:r>
          </w:p>
        </w:tc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M14</w:t>
            </w:r>
          </w:p>
        </w:tc>
      </w:tr>
      <w:tr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11</w:t>
            </w:r>
          </w:p>
        </w:tc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8"/>
              </w:rPr>
              <w:t>Essais + Formation</w:t>
            </w:r>
          </w:p>
        </w:tc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3B82F6"/>
                <w:sz w:val="18"/>
              </w:rPr>
              <w:t>2 mois ½</w:t>
            </w:r>
          </w:p>
        </w:tc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F59E0B"/>
                <w:sz w:val="24"/>
              </w:rPr>
              <w:t>→</w:t>
            </w:r>
          </w:p>
        </w:tc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97316"/>
                <w:sz w:val="18"/>
              </w:rPr>
              <w:t>1 mois ½</w:t>
            </w:r>
          </w:p>
        </w:tc>
        <w:tc>
          <w:tcPr>
            <w:tcW w:type="dxa" w:w="1568"/>
            <w:shd w:fill="F5F7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M14</w:t>
            </w:r>
          </w:p>
        </w:tc>
      </w:tr>
      <w:tr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12</w:t>
            </w:r>
          </w:p>
        </w:tc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72A"/>
                <w:sz w:val="18"/>
              </w:rPr>
              <w:t>Réception provisoire</w:t>
            </w:r>
          </w:p>
        </w:tc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3B82F6"/>
                <w:sz w:val="18"/>
              </w:rPr>
              <w:t>Mois 24</w:t>
            </w:r>
          </w:p>
        </w:tc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F59E0B"/>
                <w:sz w:val="24"/>
              </w:rPr>
              <w:t>→</w:t>
            </w:r>
          </w:p>
        </w:tc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97316"/>
                <w:sz w:val="18"/>
              </w:rPr>
              <w:t>Mois 16</w:t>
            </w:r>
          </w:p>
        </w:tc>
        <w:tc>
          <w:tcPr>
            <w:tcW w:type="dxa" w:w="1568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64748B"/>
                <w:sz w:val="18"/>
              </w:rPr>
              <w:t>M16</w:t>
            </w:r>
          </w:p>
        </w:tc>
      </w:tr>
    </w:tbl>
    <w:p>
      <w:pPr>
        <w:spacing w:after="280"/>
      </w:pPr>
      <w:r>
        <w:rPr>
          <w:rFonts w:ascii="Calibri" w:hAnsi="Calibri"/>
          <w:b w:val="0"/>
          <w:i w:val="0"/>
          <w:sz w:val="1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BEB"/>
            <w:tcBorders>
              <w:top w:val="single" w:sz="4" w:space="0" w:color="F59E0B"/>
              <w:left w:val="single" w:sz="4" w:space="0" w:color="F59E0B"/>
              <w:bottom w:val="single" w:sz="4" w:space="0" w:color="F59E0B"/>
              <w:right w:val="single" w:sz="4" w:space="0" w:color="F59E0B"/>
            </w:tcBorders>
          </w:tcPr>
          <w:p>
            <w:r>
              <w:rPr>
                <w:rFonts w:ascii="Calibri" w:hAnsi="Calibri"/>
                <w:b/>
                <w:color w:val="B45309"/>
                <w:sz w:val="18"/>
              </w:rPr>
              <w:t xml:space="preserve">Note : </w:t>
            </w:r>
            <w:r>
              <w:rPr>
                <w:rFonts w:ascii="Calibri" w:hAnsi="Calibri"/>
                <w:color w:val="785014"/>
                <w:sz w:val="16"/>
              </w:rPr>
              <w:t>Le facteur de compression ×0.667 (16/24) a été appliqué uniformément à toutes les durées et dates de début.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