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61DE" w14:textId="77777777" w:rsidR="000409C7" w:rsidRDefault="00155F50">
      <w:pPr>
        <w:spacing w:before="1400"/>
      </w:pPr>
      <w:r>
        <w:rPr>
          <w:b/>
          <w:bCs/>
          <w:color w:val="2E75B6"/>
          <w:spacing w:val="60"/>
          <w:sz w:val="24"/>
          <w:szCs w:val="24"/>
        </w:rPr>
        <w:t>METHODOLOGICAL NOTE</w:t>
      </w:r>
    </w:p>
    <w:p w14:paraId="67FE6C32" w14:textId="77777777" w:rsidR="000409C7" w:rsidRDefault="00155F50">
      <w:pPr>
        <w:pBdr>
          <w:bottom w:val="single" w:sz="12" w:space="8" w:color="1F3864"/>
        </w:pBdr>
        <w:spacing w:before="200"/>
      </w:pPr>
      <w:r>
        <w:rPr>
          <w:b/>
          <w:bCs/>
          <w:color w:val="1F3864"/>
          <w:sz w:val="46"/>
          <w:szCs w:val="46"/>
        </w:rPr>
        <w:t>Country-level Occupations and Skills Catalogs (COSCs)</w:t>
      </w:r>
    </w:p>
    <w:p w14:paraId="26899F3F" w14:textId="77777777" w:rsidR="000409C7" w:rsidRDefault="00155F50">
      <w:pPr>
        <w:spacing w:before="240"/>
      </w:pPr>
      <w:r>
        <w:rPr>
          <w:color w:val="1F1F1F"/>
          <w:sz w:val="30"/>
          <w:szCs w:val="30"/>
        </w:rPr>
        <w:t>Construction, Content, and Use for Priority Sectors in South Asia</w:t>
      </w:r>
    </w:p>
    <w:p w14:paraId="08AEE8A4" w14:textId="77777777" w:rsidR="000409C7" w:rsidRDefault="00155F50">
      <w:pPr>
        <w:spacing w:before="1200"/>
      </w:pPr>
      <w:r>
        <w:rPr>
          <w:i/>
          <w:iCs/>
          <w:color w:val="595959"/>
          <w:sz w:val="22"/>
          <w:szCs w:val="22"/>
        </w:rPr>
        <w:t>Building the Foundations for Skilling Solutions in Priority Sectors in South Asia</w:t>
      </w:r>
    </w:p>
    <w:p w14:paraId="391F8A42" w14:textId="77777777" w:rsidR="000409C7" w:rsidRDefault="00155F50">
      <w:pPr>
        <w:spacing w:before="60"/>
      </w:pPr>
      <w:r>
        <w:rPr>
          <w:color w:val="595959"/>
          <w:sz w:val="22"/>
          <w:szCs w:val="22"/>
        </w:rPr>
        <w:t>South Asia People Vertical – Education and Skills</w:t>
      </w:r>
    </w:p>
    <w:p w14:paraId="0A07E60A" w14:textId="77777777" w:rsidR="000409C7" w:rsidRDefault="00155F50">
      <w:pPr>
        <w:spacing w:before="1600"/>
      </w:pPr>
      <w:r>
        <w:rPr>
          <w:i/>
          <w:iCs/>
          <w:color w:val="595959"/>
          <w:sz w:val="20"/>
          <w:szCs w:val="20"/>
        </w:rPr>
        <w:t>This note explains how the COSCs were created, what information they contain, and how they can be used to inform sector-specific skilling solutions. It is intended to be read as a stand-alone document.</w:t>
      </w:r>
    </w:p>
    <w:p w14:paraId="6C10BBDC" w14:textId="77777777" w:rsidR="000409C7" w:rsidRDefault="00155F50">
      <w:r>
        <w:br w:type="page"/>
      </w:r>
    </w:p>
    <w:p w14:paraId="5903E9E5" w14:textId="77777777" w:rsidR="000409C7" w:rsidRDefault="00155F50">
      <w:pPr>
        <w:spacing w:after="160"/>
      </w:pPr>
      <w:r>
        <w:rPr>
          <w:b/>
          <w:bCs/>
          <w:color w:val="1F3864"/>
          <w:sz w:val="30"/>
          <w:szCs w:val="30"/>
        </w:rPr>
        <w:lastRenderedPageBreak/>
        <w:t>Contents</w:t>
      </w:r>
    </w:p>
    <w:sdt>
      <w:sdtPr>
        <w:alias w:val="Contents"/>
        <w:id w:val="2084941339"/>
      </w:sdtPr>
      <w:sdtEndPr/>
      <w:sdtContent>
        <w:p w14:paraId="0630E384" w14:textId="77777777" w:rsidR="001E11FE" w:rsidRDefault="00155F50">
          <w:pPr>
            <w:pStyle w:val="TOC1"/>
            <w:tabs>
              <w:tab w:val="right" w:leader="dot" w:pos="9350"/>
            </w:tabs>
            <w:rPr>
              <w:noProof/>
            </w:rPr>
          </w:pPr>
          <w:r>
            <w:fldChar w:fldCharType="begin"/>
          </w:r>
          <w:r>
            <w:instrText>TOC \h \o "1-2"</w:instrText>
          </w:r>
          <w:r>
            <w:fldChar w:fldCharType="separate"/>
          </w:r>
          <w:hyperlink w:anchor="_Toc232635681" w:history="1">
            <w:r w:rsidR="001E11FE" w:rsidRPr="006A253B">
              <w:rPr>
                <w:rStyle w:val="Hyperlink"/>
                <w:noProof/>
              </w:rPr>
              <w:t>1. Introduction and Purpose</w:t>
            </w:r>
            <w:r w:rsidR="001E11FE">
              <w:rPr>
                <w:noProof/>
              </w:rPr>
              <w:tab/>
            </w:r>
            <w:r w:rsidR="001E11FE">
              <w:rPr>
                <w:noProof/>
              </w:rPr>
              <w:fldChar w:fldCharType="begin"/>
            </w:r>
            <w:r w:rsidR="001E11FE">
              <w:rPr>
                <w:noProof/>
              </w:rPr>
              <w:instrText xml:space="preserve"> PAGEREF _Toc232635681 \h </w:instrText>
            </w:r>
            <w:r w:rsidR="001E11FE">
              <w:rPr>
                <w:noProof/>
              </w:rPr>
            </w:r>
            <w:r w:rsidR="001E11FE">
              <w:rPr>
                <w:noProof/>
              </w:rPr>
              <w:fldChar w:fldCharType="separate"/>
            </w:r>
            <w:r w:rsidR="001E11FE">
              <w:rPr>
                <w:noProof/>
              </w:rPr>
              <w:t>1</w:t>
            </w:r>
            <w:r w:rsidR="001E11FE">
              <w:rPr>
                <w:noProof/>
              </w:rPr>
              <w:fldChar w:fldCharType="end"/>
            </w:r>
          </w:hyperlink>
        </w:p>
        <w:p w14:paraId="1C94F2F5" w14:textId="77777777" w:rsidR="001E11FE" w:rsidRDefault="001E11FE">
          <w:pPr>
            <w:pStyle w:val="TOC2"/>
            <w:tabs>
              <w:tab w:val="right" w:leader="dot" w:pos="9350"/>
            </w:tabs>
            <w:rPr>
              <w:noProof/>
            </w:rPr>
          </w:pPr>
          <w:hyperlink w:anchor="_Toc232635682" w:history="1">
            <w:r w:rsidRPr="006A253B">
              <w:rPr>
                <w:rStyle w:val="Hyperlink"/>
                <w:noProof/>
              </w:rPr>
              <w:t>1.1. What this note covers</w:t>
            </w:r>
            <w:r>
              <w:rPr>
                <w:noProof/>
              </w:rPr>
              <w:tab/>
            </w:r>
            <w:r>
              <w:rPr>
                <w:noProof/>
              </w:rPr>
              <w:fldChar w:fldCharType="begin"/>
            </w:r>
            <w:r>
              <w:rPr>
                <w:noProof/>
              </w:rPr>
              <w:instrText xml:space="preserve"> PAGEREF _Toc232635682 \h </w:instrText>
            </w:r>
            <w:r>
              <w:rPr>
                <w:noProof/>
              </w:rPr>
            </w:r>
            <w:r>
              <w:rPr>
                <w:noProof/>
              </w:rPr>
              <w:fldChar w:fldCharType="separate"/>
            </w:r>
            <w:r>
              <w:rPr>
                <w:noProof/>
              </w:rPr>
              <w:t>1</w:t>
            </w:r>
            <w:r>
              <w:rPr>
                <w:noProof/>
              </w:rPr>
              <w:fldChar w:fldCharType="end"/>
            </w:r>
          </w:hyperlink>
        </w:p>
        <w:p w14:paraId="193956BB" w14:textId="77777777" w:rsidR="001E11FE" w:rsidRDefault="001E11FE">
          <w:pPr>
            <w:pStyle w:val="TOC1"/>
            <w:tabs>
              <w:tab w:val="right" w:leader="dot" w:pos="9350"/>
            </w:tabs>
            <w:rPr>
              <w:noProof/>
            </w:rPr>
          </w:pPr>
          <w:hyperlink w:anchor="_Toc232635683" w:history="1">
            <w:r w:rsidRPr="006A253B">
              <w:rPr>
                <w:rStyle w:val="Hyperlink"/>
                <w:noProof/>
              </w:rPr>
              <w:t>2. Key Concepts and Definitions</w:t>
            </w:r>
            <w:r>
              <w:rPr>
                <w:noProof/>
              </w:rPr>
              <w:tab/>
            </w:r>
            <w:r>
              <w:rPr>
                <w:noProof/>
              </w:rPr>
              <w:fldChar w:fldCharType="begin"/>
            </w:r>
            <w:r>
              <w:rPr>
                <w:noProof/>
              </w:rPr>
              <w:instrText xml:space="preserve"> PAGEREF _Toc232635683 \h </w:instrText>
            </w:r>
            <w:r>
              <w:rPr>
                <w:noProof/>
              </w:rPr>
            </w:r>
            <w:r>
              <w:rPr>
                <w:noProof/>
              </w:rPr>
              <w:fldChar w:fldCharType="separate"/>
            </w:r>
            <w:r>
              <w:rPr>
                <w:noProof/>
              </w:rPr>
              <w:t>1</w:t>
            </w:r>
            <w:r>
              <w:rPr>
                <w:noProof/>
              </w:rPr>
              <w:fldChar w:fldCharType="end"/>
            </w:r>
          </w:hyperlink>
        </w:p>
        <w:p w14:paraId="47C1007A" w14:textId="77777777" w:rsidR="001E11FE" w:rsidRDefault="001E11FE">
          <w:pPr>
            <w:pStyle w:val="TOC2"/>
            <w:tabs>
              <w:tab w:val="right" w:leader="dot" w:pos="9350"/>
            </w:tabs>
            <w:rPr>
              <w:noProof/>
            </w:rPr>
          </w:pPr>
          <w:hyperlink w:anchor="_Toc232635684" w:history="1">
            <w:r w:rsidRPr="006A253B">
              <w:rPr>
                <w:rStyle w:val="Hyperlink"/>
                <w:noProof/>
              </w:rPr>
              <w:t>2.1. Priority sectors</w:t>
            </w:r>
            <w:r>
              <w:rPr>
                <w:noProof/>
              </w:rPr>
              <w:tab/>
            </w:r>
            <w:r>
              <w:rPr>
                <w:noProof/>
              </w:rPr>
              <w:fldChar w:fldCharType="begin"/>
            </w:r>
            <w:r>
              <w:rPr>
                <w:noProof/>
              </w:rPr>
              <w:instrText xml:space="preserve"> PAGEREF _Toc232635684 \h </w:instrText>
            </w:r>
            <w:r>
              <w:rPr>
                <w:noProof/>
              </w:rPr>
            </w:r>
            <w:r>
              <w:rPr>
                <w:noProof/>
              </w:rPr>
              <w:fldChar w:fldCharType="separate"/>
            </w:r>
            <w:r>
              <w:rPr>
                <w:noProof/>
              </w:rPr>
              <w:t>1</w:t>
            </w:r>
            <w:r>
              <w:rPr>
                <w:noProof/>
              </w:rPr>
              <w:fldChar w:fldCharType="end"/>
            </w:r>
          </w:hyperlink>
        </w:p>
        <w:p w14:paraId="523C192B" w14:textId="77777777" w:rsidR="001E11FE" w:rsidRDefault="001E11FE">
          <w:pPr>
            <w:pStyle w:val="TOC2"/>
            <w:tabs>
              <w:tab w:val="right" w:leader="dot" w:pos="9350"/>
            </w:tabs>
            <w:rPr>
              <w:noProof/>
            </w:rPr>
          </w:pPr>
          <w:hyperlink w:anchor="_Toc232635685" w:history="1">
            <w:r w:rsidRPr="006A253B">
              <w:rPr>
                <w:rStyle w:val="Hyperlink"/>
                <w:noProof/>
              </w:rPr>
              <w:t>2.2. Occupations and the sector–occupation pair</w:t>
            </w:r>
            <w:r>
              <w:rPr>
                <w:noProof/>
              </w:rPr>
              <w:tab/>
            </w:r>
            <w:r>
              <w:rPr>
                <w:noProof/>
              </w:rPr>
              <w:fldChar w:fldCharType="begin"/>
            </w:r>
            <w:r>
              <w:rPr>
                <w:noProof/>
              </w:rPr>
              <w:instrText xml:space="preserve"> PAGEREF _Toc232635685 \h </w:instrText>
            </w:r>
            <w:r>
              <w:rPr>
                <w:noProof/>
              </w:rPr>
            </w:r>
            <w:r>
              <w:rPr>
                <w:noProof/>
              </w:rPr>
              <w:fldChar w:fldCharType="separate"/>
            </w:r>
            <w:r>
              <w:rPr>
                <w:noProof/>
              </w:rPr>
              <w:t>1</w:t>
            </w:r>
            <w:r>
              <w:rPr>
                <w:noProof/>
              </w:rPr>
              <w:fldChar w:fldCharType="end"/>
            </w:r>
          </w:hyperlink>
        </w:p>
        <w:p w14:paraId="669E6015" w14:textId="77777777" w:rsidR="001E11FE" w:rsidRDefault="001E11FE">
          <w:pPr>
            <w:pStyle w:val="TOC2"/>
            <w:tabs>
              <w:tab w:val="right" w:leader="dot" w:pos="9350"/>
            </w:tabs>
            <w:rPr>
              <w:noProof/>
            </w:rPr>
          </w:pPr>
          <w:hyperlink w:anchor="_Toc232635686" w:history="1">
            <w:r w:rsidRPr="006A253B">
              <w:rPr>
                <w:rStyle w:val="Hyperlink"/>
                <w:noProof/>
              </w:rPr>
              <w:t>2.3. Skills</w:t>
            </w:r>
            <w:r>
              <w:rPr>
                <w:noProof/>
              </w:rPr>
              <w:tab/>
            </w:r>
            <w:r>
              <w:rPr>
                <w:noProof/>
              </w:rPr>
              <w:fldChar w:fldCharType="begin"/>
            </w:r>
            <w:r>
              <w:rPr>
                <w:noProof/>
              </w:rPr>
              <w:instrText xml:space="preserve"> PAGEREF _Toc232635686 \h </w:instrText>
            </w:r>
            <w:r>
              <w:rPr>
                <w:noProof/>
              </w:rPr>
            </w:r>
            <w:r>
              <w:rPr>
                <w:noProof/>
              </w:rPr>
              <w:fldChar w:fldCharType="separate"/>
            </w:r>
            <w:r>
              <w:rPr>
                <w:noProof/>
              </w:rPr>
              <w:t>1</w:t>
            </w:r>
            <w:r>
              <w:rPr>
                <w:noProof/>
              </w:rPr>
              <w:fldChar w:fldCharType="end"/>
            </w:r>
          </w:hyperlink>
        </w:p>
        <w:p w14:paraId="64D9012F" w14:textId="77777777" w:rsidR="001E11FE" w:rsidRDefault="001E11FE">
          <w:pPr>
            <w:pStyle w:val="TOC2"/>
            <w:tabs>
              <w:tab w:val="right" w:leader="dot" w:pos="9350"/>
            </w:tabs>
            <w:rPr>
              <w:noProof/>
            </w:rPr>
          </w:pPr>
          <w:hyperlink w:anchor="_Toc232635687" w:history="1">
            <w:r w:rsidRPr="006A253B">
              <w:rPr>
                <w:rStyle w:val="Hyperlink"/>
                <w:noProof/>
              </w:rPr>
              <w:t>2.4. COSC and GOSC: two complementary catalogs</w:t>
            </w:r>
            <w:r>
              <w:rPr>
                <w:noProof/>
              </w:rPr>
              <w:tab/>
            </w:r>
            <w:r>
              <w:rPr>
                <w:noProof/>
              </w:rPr>
              <w:fldChar w:fldCharType="begin"/>
            </w:r>
            <w:r>
              <w:rPr>
                <w:noProof/>
              </w:rPr>
              <w:instrText xml:space="preserve"> PAGEREF _Toc232635687 \h </w:instrText>
            </w:r>
            <w:r>
              <w:rPr>
                <w:noProof/>
              </w:rPr>
            </w:r>
            <w:r>
              <w:rPr>
                <w:noProof/>
              </w:rPr>
              <w:fldChar w:fldCharType="separate"/>
            </w:r>
            <w:r>
              <w:rPr>
                <w:noProof/>
              </w:rPr>
              <w:t>1</w:t>
            </w:r>
            <w:r>
              <w:rPr>
                <w:noProof/>
              </w:rPr>
              <w:fldChar w:fldCharType="end"/>
            </w:r>
          </w:hyperlink>
        </w:p>
        <w:p w14:paraId="740F5611" w14:textId="77777777" w:rsidR="001E11FE" w:rsidRDefault="001E11FE">
          <w:pPr>
            <w:pStyle w:val="TOC1"/>
            <w:tabs>
              <w:tab w:val="right" w:leader="dot" w:pos="9350"/>
            </w:tabs>
            <w:rPr>
              <w:noProof/>
            </w:rPr>
          </w:pPr>
          <w:hyperlink w:anchor="_Toc232635688" w:history="1">
            <w:r w:rsidRPr="006A253B">
              <w:rPr>
                <w:rStyle w:val="Hyperlink"/>
                <w:noProof/>
              </w:rPr>
              <w:t>3. Data Sources</w:t>
            </w:r>
            <w:r>
              <w:rPr>
                <w:noProof/>
              </w:rPr>
              <w:tab/>
            </w:r>
            <w:r>
              <w:rPr>
                <w:noProof/>
              </w:rPr>
              <w:fldChar w:fldCharType="begin"/>
            </w:r>
            <w:r>
              <w:rPr>
                <w:noProof/>
              </w:rPr>
              <w:instrText xml:space="preserve"> PAGEREF _Toc232635688 \h </w:instrText>
            </w:r>
            <w:r>
              <w:rPr>
                <w:noProof/>
              </w:rPr>
            </w:r>
            <w:r>
              <w:rPr>
                <w:noProof/>
              </w:rPr>
              <w:fldChar w:fldCharType="separate"/>
            </w:r>
            <w:r>
              <w:rPr>
                <w:noProof/>
              </w:rPr>
              <w:t>1</w:t>
            </w:r>
            <w:r>
              <w:rPr>
                <w:noProof/>
              </w:rPr>
              <w:fldChar w:fldCharType="end"/>
            </w:r>
          </w:hyperlink>
        </w:p>
        <w:p w14:paraId="0B65BCE5" w14:textId="77777777" w:rsidR="001E11FE" w:rsidRDefault="001E11FE">
          <w:pPr>
            <w:pStyle w:val="TOC2"/>
            <w:tabs>
              <w:tab w:val="right" w:leader="dot" w:pos="9350"/>
            </w:tabs>
            <w:rPr>
              <w:noProof/>
            </w:rPr>
          </w:pPr>
          <w:hyperlink w:anchor="_Toc232635689" w:history="1">
            <w:r w:rsidRPr="006A253B">
              <w:rPr>
                <w:rStyle w:val="Hyperlink"/>
                <w:noProof/>
              </w:rPr>
              <w:t>3.1. National labor force and household survey data</w:t>
            </w:r>
            <w:r>
              <w:rPr>
                <w:noProof/>
              </w:rPr>
              <w:tab/>
            </w:r>
            <w:r>
              <w:rPr>
                <w:noProof/>
              </w:rPr>
              <w:fldChar w:fldCharType="begin"/>
            </w:r>
            <w:r>
              <w:rPr>
                <w:noProof/>
              </w:rPr>
              <w:instrText xml:space="preserve"> PAGEREF _Toc232635689 \h </w:instrText>
            </w:r>
            <w:r>
              <w:rPr>
                <w:noProof/>
              </w:rPr>
            </w:r>
            <w:r>
              <w:rPr>
                <w:noProof/>
              </w:rPr>
              <w:fldChar w:fldCharType="separate"/>
            </w:r>
            <w:r>
              <w:rPr>
                <w:noProof/>
              </w:rPr>
              <w:t>1</w:t>
            </w:r>
            <w:r>
              <w:rPr>
                <w:noProof/>
              </w:rPr>
              <w:fldChar w:fldCharType="end"/>
            </w:r>
          </w:hyperlink>
        </w:p>
        <w:p w14:paraId="590C5443" w14:textId="77777777" w:rsidR="001E11FE" w:rsidRDefault="001E11FE">
          <w:pPr>
            <w:pStyle w:val="TOC2"/>
            <w:tabs>
              <w:tab w:val="right" w:leader="dot" w:pos="9350"/>
            </w:tabs>
            <w:rPr>
              <w:noProof/>
            </w:rPr>
          </w:pPr>
          <w:hyperlink w:anchor="_Toc232635690" w:history="1">
            <w:r w:rsidRPr="006A253B">
              <w:rPr>
                <w:rStyle w:val="Hyperlink"/>
                <w:noProof/>
              </w:rPr>
              <w:t>3.2. Industry-based sector definitions</w:t>
            </w:r>
            <w:r>
              <w:rPr>
                <w:noProof/>
              </w:rPr>
              <w:tab/>
            </w:r>
            <w:r>
              <w:rPr>
                <w:noProof/>
              </w:rPr>
              <w:fldChar w:fldCharType="begin"/>
            </w:r>
            <w:r>
              <w:rPr>
                <w:noProof/>
              </w:rPr>
              <w:instrText xml:space="preserve"> PAGEREF _Toc232635690 \h </w:instrText>
            </w:r>
            <w:r>
              <w:rPr>
                <w:noProof/>
              </w:rPr>
            </w:r>
            <w:r>
              <w:rPr>
                <w:noProof/>
              </w:rPr>
              <w:fldChar w:fldCharType="separate"/>
            </w:r>
            <w:r>
              <w:rPr>
                <w:noProof/>
              </w:rPr>
              <w:t>1</w:t>
            </w:r>
            <w:r>
              <w:rPr>
                <w:noProof/>
              </w:rPr>
              <w:fldChar w:fldCharType="end"/>
            </w:r>
          </w:hyperlink>
        </w:p>
        <w:p w14:paraId="49097B96" w14:textId="77777777" w:rsidR="001E11FE" w:rsidRDefault="001E11FE">
          <w:pPr>
            <w:pStyle w:val="TOC2"/>
            <w:tabs>
              <w:tab w:val="right" w:leader="dot" w:pos="9350"/>
            </w:tabs>
            <w:rPr>
              <w:noProof/>
            </w:rPr>
          </w:pPr>
          <w:hyperlink w:anchor="_Toc232635691" w:history="1">
            <w:r w:rsidRPr="006A253B">
              <w:rPr>
                <w:rStyle w:val="Hyperlink"/>
                <w:noProof/>
              </w:rPr>
              <w:t>3.3. Global reference data for enrichment</w:t>
            </w:r>
            <w:r>
              <w:rPr>
                <w:noProof/>
              </w:rPr>
              <w:tab/>
            </w:r>
            <w:r>
              <w:rPr>
                <w:noProof/>
              </w:rPr>
              <w:fldChar w:fldCharType="begin"/>
            </w:r>
            <w:r>
              <w:rPr>
                <w:noProof/>
              </w:rPr>
              <w:instrText xml:space="preserve"> PAGEREF _Toc232635691 \h </w:instrText>
            </w:r>
            <w:r>
              <w:rPr>
                <w:noProof/>
              </w:rPr>
            </w:r>
            <w:r>
              <w:rPr>
                <w:noProof/>
              </w:rPr>
              <w:fldChar w:fldCharType="separate"/>
            </w:r>
            <w:r>
              <w:rPr>
                <w:noProof/>
              </w:rPr>
              <w:t>1</w:t>
            </w:r>
            <w:r>
              <w:rPr>
                <w:noProof/>
              </w:rPr>
              <w:fldChar w:fldCharType="end"/>
            </w:r>
          </w:hyperlink>
        </w:p>
        <w:p w14:paraId="0BD6FCE4" w14:textId="77777777" w:rsidR="001E11FE" w:rsidRDefault="001E11FE">
          <w:pPr>
            <w:pStyle w:val="TOC1"/>
            <w:tabs>
              <w:tab w:val="right" w:leader="dot" w:pos="9350"/>
            </w:tabs>
            <w:rPr>
              <w:noProof/>
            </w:rPr>
          </w:pPr>
          <w:hyperlink w:anchor="_Toc232635692" w:history="1">
            <w:r w:rsidRPr="006A253B">
              <w:rPr>
                <w:rStyle w:val="Hyperlink"/>
                <w:noProof/>
              </w:rPr>
              <w:t>4. How the COSCs Were Constructed</w:t>
            </w:r>
            <w:r>
              <w:rPr>
                <w:noProof/>
              </w:rPr>
              <w:tab/>
            </w:r>
            <w:r>
              <w:rPr>
                <w:noProof/>
              </w:rPr>
              <w:fldChar w:fldCharType="begin"/>
            </w:r>
            <w:r>
              <w:rPr>
                <w:noProof/>
              </w:rPr>
              <w:instrText xml:space="preserve"> PAGEREF _Toc232635692 \h </w:instrText>
            </w:r>
            <w:r>
              <w:rPr>
                <w:noProof/>
              </w:rPr>
            </w:r>
            <w:r>
              <w:rPr>
                <w:noProof/>
              </w:rPr>
              <w:fldChar w:fldCharType="separate"/>
            </w:r>
            <w:r>
              <w:rPr>
                <w:noProof/>
              </w:rPr>
              <w:t>1</w:t>
            </w:r>
            <w:r>
              <w:rPr>
                <w:noProof/>
              </w:rPr>
              <w:fldChar w:fldCharType="end"/>
            </w:r>
          </w:hyperlink>
        </w:p>
        <w:p w14:paraId="51B070AC" w14:textId="77777777" w:rsidR="001E11FE" w:rsidRDefault="001E11FE">
          <w:pPr>
            <w:pStyle w:val="TOC2"/>
            <w:tabs>
              <w:tab w:val="right" w:leader="dot" w:pos="9350"/>
            </w:tabs>
            <w:rPr>
              <w:noProof/>
            </w:rPr>
          </w:pPr>
          <w:hyperlink w:anchor="_Toc232635693" w:history="1">
            <w:r w:rsidRPr="006A253B">
              <w:rPr>
                <w:rStyle w:val="Hyperlink"/>
                <w:noProof/>
              </w:rPr>
              <w:t>4.1. Step 1 — Define the priority sectors at the industry level</w:t>
            </w:r>
            <w:r>
              <w:rPr>
                <w:noProof/>
              </w:rPr>
              <w:tab/>
            </w:r>
            <w:r>
              <w:rPr>
                <w:noProof/>
              </w:rPr>
              <w:fldChar w:fldCharType="begin"/>
            </w:r>
            <w:r>
              <w:rPr>
                <w:noProof/>
              </w:rPr>
              <w:instrText xml:space="preserve"> PAGEREF _Toc232635693 \h </w:instrText>
            </w:r>
            <w:r>
              <w:rPr>
                <w:noProof/>
              </w:rPr>
            </w:r>
            <w:r>
              <w:rPr>
                <w:noProof/>
              </w:rPr>
              <w:fldChar w:fldCharType="separate"/>
            </w:r>
            <w:r>
              <w:rPr>
                <w:noProof/>
              </w:rPr>
              <w:t>1</w:t>
            </w:r>
            <w:r>
              <w:rPr>
                <w:noProof/>
              </w:rPr>
              <w:fldChar w:fldCharType="end"/>
            </w:r>
          </w:hyperlink>
        </w:p>
        <w:p w14:paraId="78DF5903" w14:textId="77777777" w:rsidR="001E11FE" w:rsidRDefault="001E11FE">
          <w:pPr>
            <w:pStyle w:val="TOC2"/>
            <w:tabs>
              <w:tab w:val="right" w:leader="dot" w:pos="9350"/>
            </w:tabs>
            <w:rPr>
              <w:noProof/>
            </w:rPr>
          </w:pPr>
          <w:hyperlink w:anchor="_Toc232635694" w:history="1">
            <w:r w:rsidRPr="006A253B">
              <w:rPr>
                <w:rStyle w:val="Hyperlink"/>
                <w:noProof/>
              </w:rPr>
              <w:t>4.2. Step 2 — Identify workers and their occupations in the survey data</w:t>
            </w:r>
            <w:r>
              <w:rPr>
                <w:noProof/>
              </w:rPr>
              <w:tab/>
            </w:r>
            <w:r>
              <w:rPr>
                <w:noProof/>
              </w:rPr>
              <w:fldChar w:fldCharType="begin"/>
            </w:r>
            <w:r>
              <w:rPr>
                <w:noProof/>
              </w:rPr>
              <w:instrText xml:space="preserve"> PAGEREF _Toc232635694 \h </w:instrText>
            </w:r>
            <w:r>
              <w:rPr>
                <w:noProof/>
              </w:rPr>
            </w:r>
            <w:r>
              <w:rPr>
                <w:noProof/>
              </w:rPr>
              <w:fldChar w:fldCharType="separate"/>
            </w:r>
            <w:r>
              <w:rPr>
                <w:noProof/>
              </w:rPr>
              <w:t>1</w:t>
            </w:r>
            <w:r>
              <w:rPr>
                <w:noProof/>
              </w:rPr>
              <w:fldChar w:fldCharType="end"/>
            </w:r>
          </w:hyperlink>
        </w:p>
        <w:p w14:paraId="2B66C2D3" w14:textId="77777777" w:rsidR="001E11FE" w:rsidRDefault="001E11FE">
          <w:pPr>
            <w:pStyle w:val="TOC2"/>
            <w:tabs>
              <w:tab w:val="right" w:leader="dot" w:pos="9350"/>
            </w:tabs>
            <w:rPr>
              <w:noProof/>
            </w:rPr>
          </w:pPr>
          <w:hyperlink w:anchor="_Toc232635695" w:history="1">
            <w:r w:rsidRPr="006A253B">
              <w:rPr>
                <w:rStyle w:val="Hyperlink"/>
                <w:noProof/>
              </w:rPr>
              <w:t>4.3. Step 3 — Construct the sector–occupation indicators</w:t>
            </w:r>
            <w:r>
              <w:rPr>
                <w:noProof/>
              </w:rPr>
              <w:tab/>
            </w:r>
            <w:r>
              <w:rPr>
                <w:noProof/>
              </w:rPr>
              <w:fldChar w:fldCharType="begin"/>
            </w:r>
            <w:r>
              <w:rPr>
                <w:noProof/>
              </w:rPr>
              <w:instrText xml:space="preserve"> PAGEREF _Toc232635695 \h </w:instrText>
            </w:r>
            <w:r>
              <w:rPr>
                <w:noProof/>
              </w:rPr>
            </w:r>
            <w:r>
              <w:rPr>
                <w:noProof/>
              </w:rPr>
              <w:fldChar w:fldCharType="separate"/>
            </w:r>
            <w:r>
              <w:rPr>
                <w:noProof/>
              </w:rPr>
              <w:t>1</w:t>
            </w:r>
            <w:r>
              <w:rPr>
                <w:noProof/>
              </w:rPr>
              <w:fldChar w:fldCharType="end"/>
            </w:r>
          </w:hyperlink>
        </w:p>
        <w:p w14:paraId="204CE083" w14:textId="77777777" w:rsidR="001E11FE" w:rsidRDefault="001E11FE">
          <w:pPr>
            <w:pStyle w:val="TOC2"/>
            <w:tabs>
              <w:tab w:val="right" w:leader="dot" w:pos="9350"/>
            </w:tabs>
            <w:rPr>
              <w:noProof/>
            </w:rPr>
          </w:pPr>
          <w:hyperlink w:anchor="_Toc232635696" w:history="1">
            <w:r w:rsidRPr="006A253B">
              <w:rPr>
                <w:rStyle w:val="Hyperlink"/>
                <w:noProof/>
              </w:rPr>
              <w:t>4.4. Step 4 — Enrich the catalog with global occupational and skills information</w:t>
            </w:r>
            <w:r>
              <w:rPr>
                <w:noProof/>
              </w:rPr>
              <w:tab/>
            </w:r>
            <w:r>
              <w:rPr>
                <w:noProof/>
              </w:rPr>
              <w:fldChar w:fldCharType="begin"/>
            </w:r>
            <w:r>
              <w:rPr>
                <w:noProof/>
              </w:rPr>
              <w:instrText xml:space="preserve"> PAGEREF _Toc232635696 \h </w:instrText>
            </w:r>
            <w:r>
              <w:rPr>
                <w:noProof/>
              </w:rPr>
            </w:r>
            <w:r>
              <w:rPr>
                <w:noProof/>
              </w:rPr>
              <w:fldChar w:fldCharType="separate"/>
            </w:r>
            <w:r>
              <w:rPr>
                <w:noProof/>
              </w:rPr>
              <w:t>1</w:t>
            </w:r>
            <w:r>
              <w:rPr>
                <w:noProof/>
              </w:rPr>
              <w:fldChar w:fldCharType="end"/>
            </w:r>
          </w:hyperlink>
        </w:p>
        <w:p w14:paraId="404DBC7C" w14:textId="77777777" w:rsidR="001E11FE" w:rsidRDefault="001E11FE">
          <w:pPr>
            <w:pStyle w:val="TOC1"/>
            <w:tabs>
              <w:tab w:val="right" w:leader="dot" w:pos="9350"/>
            </w:tabs>
            <w:rPr>
              <w:noProof/>
            </w:rPr>
          </w:pPr>
          <w:hyperlink w:anchor="_Toc232635697" w:history="1">
            <w:r w:rsidRPr="006A253B">
              <w:rPr>
                <w:rStyle w:val="Hyperlink"/>
                <w:noProof/>
              </w:rPr>
              <w:t>5. What the COSCs Contain</w:t>
            </w:r>
            <w:r>
              <w:rPr>
                <w:noProof/>
              </w:rPr>
              <w:tab/>
            </w:r>
            <w:r>
              <w:rPr>
                <w:noProof/>
              </w:rPr>
              <w:fldChar w:fldCharType="begin"/>
            </w:r>
            <w:r>
              <w:rPr>
                <w:noProof/>
              </w:rPr>
              <w:instrText xml:space="preserve"> PAGEREF _Toc232635697 \h </w:instrText>
            </w:r>
            <w:r>
              <w:rPr>
                <w:noProof/>
              </w:rPr>
            </w:r>
            <w:r>
              <w:rPr>
                <w:noProof/>
              </w:rPr>
              <w:fldChar w:fldCharType="separate"/>
            </w:r>
            <w:r>
              <w:rPr>
                <w:noProof/>
              </w:rPr>
              <w:t>1</w:t>
            </w:r>
            <w:r>
              <w:rPr>
                <w:noProof/>
              </w:rPr>
              <w:fldChar w:fldCharType="end"/>
            </w:r>
          </w:hyperlink>
        </w:p>
        <w:p w14:paraId="0144B20C" w14:textId="77777777" w:rsidR="001E11FE" w:rsidRDefault="001E11FE">
          <w:pPr>
            <w:pStyle w:val="TOC2"/>
            <w:tabs>
              <w:tab w:val="right" w:leader="dot" w:pos="9350"/>
            </w:tabs>
            <w:rPr>
              <w:noProof/>
            </w:rPr>
          </w:pPr>
          <w:hyperlink w:anchor="_Toc232635698" w:history="1">
            <w:r w:rsidRPr="006A253B">
              <w:rPr>
                <w:rStyle w:val="Hyperlink"/>
                <w:noProof/>
              </w:rPr>
              <w:t>5.1. Country-specific fields (from national survey data)</w:t>
            </w:r>
            <w:r>
              <w:rPr>
                <w:noProof/>
              </w:rPr>
              <w:tab/>
            </w:r>
            <w:r>
              <w:rPr>
                <w:noProof/>
              </w:rPr>
              <w:fldChar w:fldCharType="begin"/>
            </w:r>
            <w:r>
              <w:rPr>
                <w:noProof/>
              </w:rPr>
              <w:instrText xml:space="preserve"> PAGEREF _Toc232635698 \h </w:instrText>
            </w:r>
            <w:r>
              <w:rPr>
                <w:noProof/>
              </w:rPr>
            </w:r>
            <w:r>
              <w:rPr>
                <w:noProof/>
              </w:rPr>
              <w:fldChar w:fldCharType="separate"/>
            </w:r>
            <w:r>
              <w:rPr>
                <w:noProof/>
              </w:rPr>
              <w:t>1</w:t>
            </w:r>
            <w:r>
              <w:rPr>
                <w:noProof/>
              </w:rPr>
              <w:fldChar w:fldCharType="end"/>
            </w:r>
          </w:hyperlink>
        </w:p>
        <w:p w14:paraId="436F3766" w14:textId="77777777" w:rsidR="001E11FE" w:rsidRDefault="001E11FE">
          <w:pPr>
            <w:pStyle w:val="TOC2"/>
            <w:tabs>
              <w:tab w:val="right" w:leader="dot" w:pos="9350"/>
            </w:tabs>
            <w:rPr>
              <w:noProof/>
            </w:rPr>
          </w:pPr>
          <w:hyperlink w:anchor="_Toc232635699" w:history="1">
            <w:r w:rsidRPr="006A253B">
              <w:rPr>
                <w:rStyle w:val="Hyperlink"/>
                <w:noProof/>
              </w:rPr>
              <w:t>5.2. Referential fields (linked from the GOSC)</w:t>
            </w:r>
            <w:r>
              <w:rPr>
                <w:noProof/>
              </w:rPr>
              <w:tab/>
            </w:r>
            <w:r>
              <w:rPr>
                <w:noProof/>
              </w:rPr>
              <w:fldChar w:fldCharType="begin"/>
            </w:r>
            <w:r>
              <w:rPr>
                <w:noProof/>
              </w:rPr>
              <w:instrText xml:space="preserve"> PAGEREF _Toc232635699 \h </w:instrText>
            </w:r>
            <w:r>
              <w:rPr>
                <w:noProof/>
              </w:rPr>
            </w:r>
            <w:r>
              <w:rPr>
                <w:noProof/>
              </w:rPr>
              <w:fldChar w:fldCharType="separate"/>
            </w:r>
            <w:r>
              <w:rPr>
                <w:noProof/>
              </w:rPr>
              <w:t>1</w:t>
            </w:r>
            <w:r>
              <w:rPr>
                <w:noProof/>
              </w:rPr>
              <w:fldChar w:fldCharType="end"/>
            </w:r>
          </w:hyperlink>
        </w:p>
        <w:p w14:paraId="1CAD1102" w14:textId="77777777" w:rsidR="001E11FE" w:rsidRDefault="001E11FE">
          <w:pPr>
            <w:pStyle w:val="TOC1"/>
            <w:tabs>
              <w:tab w:val="right" w:leader="dot" w:pos="9350"/>
            </w:tabs>
            <w:rPr>
              <w:noProof/>
            </w:rPr>
          </w:pPr>
          <w:hyperlink w:anchor="_Toc232635700" w:history="1">
            <w:r w:rsidRPr="006A253B">
              <w:rPr>
                <w:rStyle w:val="Hyperlink"/>
                <w:noProof/>
              </w:rPr>
              <w:t>6. Examples of Use</w:t>
            </w:r>
            <w:r>
              <w:rPr>
                <w:noProof/>
              </w:rPr>
              <w:tab/>
            </w:r>
            <w:r>
              <w:rPr>
                <w:noProof/>
              </w:rPr>
              <w:fldChar w:fldCharType="begin"/>
            </w:r>
            <w:r>
              <w:rPr>
                <w:noProof/>
              </w:rPr>
              <w:instrText xml:space="preserve"> PAGEREF _Toc232635700 \h </w:instrText>
            </w:r>
            <w:r>
              <w:rPr>
                <w:noProof/>
              </w:rPr>
            </w:r>
            <w:r>
              <w:rPr>
                <w:noProof/>
              </w:rPr>
              <w:fldChar w:fldCharType="separate"/>
            </w:r>
            <w:r>
              <w:rPr>
                <w:noProof/>
              </w:rPr>
              <w:t>1</w:t>
            </w:r>
            <w:r>
              <w:rPr>
                <w:noProof/>
              </w:rPr>
              <w:fldChar w:fldCharType="end"/>
            </w:r>
          </w:hyperlink>
        </w:p>
        <w:p w14:paraId="36724D92" w14:textId="77777777" w:rsidR="001E11FE" w:rsidRDefault="001E11FE">
          <w:pPr>
            <w:pStyle w:val="TOC2"/>
            <w:tabs>
              <w:tab w:val="right" w:leader="dot" w:pos="9350"/>
            </w:tabs>
            <w:rPr>
              <w:noProof/>
            </w:rPr>
          </w:pPr>
          <w:hyperlink w:anchor="_Toc232635701" w:history="1">
            <w:r w:rsidRPr="006A253B">
              <w:rPr>
                <w:rStyle w:val="Hyperlink"/>
                <w:noProof/>
              </w:rPr>
              <w:t>6.1. Reading a sector profile</w:t>
            </w:r>
            <w:r>
              <w:rPr>
                <w:noProof/>
              </w:rPr>
              <w:tab/>
            </w:r>
            <w:r>
              <w:rPr>
                <w:noProof/>
              </w:rPr>
              <w:fldChar w:fldCharType="begin"/>
            </w:r>
            <w:r>
              <w:rPr>
                <w:noProof/>
              </w:rPr>
              <w:instrText xml:space="preserve"> PAGEREF _Toc232635701 \h </w:instrText>
            </w:r>
            <w:r>
              <w:rPr>
                <w:noProof/>
              </w:rPr>
            </w:r>
            <w:r>
              <w:rPr>
                <w:noProof/>
              </w:rPr>
              <w:fldChar w:fldCharType="separate"/>
            </w:r>
            <w:r>
              <w:rPr>
                <w:noProof/>
              </w:rPr>
              <w:t>1</w:t>
            </w:r>
            <w:r>
              <w:rPr>
                <w:noProof/>
              </w:rPr>
              <w:fldChar w:fldCharType="end"/>
            </w:r>
          </w:hyperlink>
        </w:p>
        <w:p w14:paraId="5A16BDB1" w14:textId="77777777" w:rsidR="001E11FE" w:rsidRDefault="001E11FE">
          <w:pPr>
            <w:pStyle w:val="TOC2"/>
            <w:tabs>
              <w:tab w:val="right" w:leader="dot" w:pos="9350"/>
            </w:tabs>
            <w:rPr>
              <w:noProof/>
            </w:rPr>
          </w:pPr>
          <w:hyperlink w:anchor="_Toc232635702" w:history="1">
            <w:r w:rsidRPr="006A253B">
              <w:rPr>
                <w:rStyle w:val="Hyperlink"/>
                <w:noProof/>
              </w:rPr>
              <w:t>6.2. Going beyond education: wages, informality, and job quality</w:t>
            </w:r>
            <w:r>
              <w:rPr>
                <w:noProof/>
              </w:rPr>
              <w:tab/>
            </w:r>
            <w:r>
              <w:rPr>
                <w:noProof/>
              </w:rPr>
              <w:fldChar w:fldCharType="begin"/>
            </w:r>
            <w:r>
              <w:rPr>
                <w:noProof/>
              </w:rPr>
              <w:instrText xml:space="preserve"> PAGEREF _Toc232635702 \h </w:instrText>
            </w:r>
            <w:r>
              <w:rPr>
                <w:noProof/>
              </w:rPr>
            </w:r>
            <w:r>
              <w:rPr>
                <w:noProof/>
              </w:rPr>
              <w:fldChar w:fldCharType="separate"/>
            </w:r>
            <w:r>
              <w:rPr>
                <w:noProof/>
              </w:rPr>
              <w:t>1</w:t>
            </w:r>
            <w:r>
              <w:rPr>
                <w:noProof/>
              </w:rPr>
              <w:fldChar w:fldCharType="end"/>
            </w:r>
          </w:hyperlink>
        </w:p>
        <w:p w14:paraId="35781F78" w14:textId="77777777" w:rsidR="001E11FE" w:rsidRDefault="001E11FE">
          <w:pPr>
            <w:pStyle w:val="TOC2"/>
            <w:tabs>
              <w:tab w:val="right" w:leader="dot" w:pos="9350"/>
            </w:tabs>
            <w:rPr>
              <w:noProof/>
            </w:rPr>
          </w:pPr>
          <w:hyperlink w:anchor="_Toc232635703" w:history="1">
            <w:r w:rsidRPr="006A253B">
              <w:rPr>
                <w:rStyle w:val="Hyperlink"/>
                <w:noProof/>
              </w:rPr>
              <w:t>6.3. Using the global reference framework as a benchmark</w:t>
            </w:r>
            <w:r>
              <w:rPr>
                <w:noProof/>
              </w:rPr>
              <w:tab/>
            </w:r>
            <w:r>
              <w:rPr>
                <w:noProof/>
              </w:rPr>
              <w:fldChar w:fldCharType="begin"/>
            </w:r>
            <w:r>
              <w:rPr>
                <w:noProof/>
              </w:rPr>
              <w:instrText xml:space="preserve"> PAGEREF _Toc232635703 \h </w:instrText>
            </w:r>
            <w:r>
              <w:rPr>
                <w:noProof/>
              </w:rPr>
            </w:r>
            <w:r>
              <w:rPr>
                <w:noProof/>
              </w:rPr>
              <w:fldChar w:fldCharType="separate"/>
            </w:r>
            <w:r>
              <w:rPr>
                <w:noProof/>
              </w:rPr>
              <w:t>1</w:t>
            </w:r>
            <w:r>
              <w:rPr>
                <w:noProof/>
              </w:rPr>
              <w:fldChar w:fldCharType="end"/>
            </w:r>
          </w:hyperlink>
        </w:p>
        <w:p w14:paraId="5C5C1536" w14:textId="77777777" w:rsidR="001E11FE" w:rsidRDefault="001E11FE">
          <w:pPr>
            <w:pStyle w:val="TOC2"/>
            <w:tabs>
              <w:tab w:val="right" w:leader="dot" w:pos="9350"/>
            </w:tabs>
            <w:rPr>
              <w:noProof/>
            </w:rPr>
          </w:pPr>
          <w:hyperlink w:anchor="_Toc232635704" w:history="1">
            <w:r w:rsidRPr="006A253B">
              <w:rPr>
                <w:rStyle w:val="Hyperlink"/>
                <w:noProof/>
              </w:rPr>
              <w:t>6.4. Operational applications for World Bank teams</w:t>
            </w:r>
            <w:r>
              <w:rPr>
                <w:noProof/>
              </w:rPr>
              <w:tab/>
            </w:r>
            <w:r>
              <w:rPr>
                <w:noProof/>
              </w:rPr>
              <w:fldChar w:fldCharType="begin"/>
            </w:r>
            <w:r>
              <w:rPr>
                <w:noProof/>
              </w:rPr>
              <w:instrText xml:space="preserve"> PAGEREF _Toc232635704 \h </w:instrText>
            </w:r>
            <w:r>
              <w:rPr>
                <w:noProof/>
              </w:rPr>
            </w:r>
            <w:r>
              <w:rPr>
                <w:noProof/>
              </w:rPr>
              <w:fldChar w:fldCharType="separate"/>
            </w:r>
            <w:r>
              <w:rPr>
                <w:noProof/>
              </w:rPr>
              <w:t>1</w:t>
            </w:r>
            <w:r>
              <w:rPr>
                <w:noProof/>
              </w:rPr>
              <w:fldChar w:fldCharType="end"/>
            </w:r>
          </w:hyperlink>
        </w:p>
        <w:p w14:paraId="53A6918E" w14:textId="77777777" w:rsidR="001E11FE" w:rsidRDefault="001E11FE">
          <w:pPr>
            <w:pStyle w:val="TOC1"/>
            <w:tabs>
              <w:tab w:val="right" w:leader="dot" w:pos="9350"/>
            </w:tabs>
            <w:rPr>
              <w:noProof/>
            </w:rPr>
          </w:pPr>
          <w:hyperlink w:anchor="_Toc232635705" w:history="1">
            <w:r w:rsidRPr="006A253B">
              <w:rPr>
                <w:rStyle w:val="Hyperlink"/>
                <w:noProof/>
              </w:rPr>
              <w:t>7. Interpretation, Limitations, and Validation</w:t>
            </w:r>
            <w:r>
              <w:rPr>
                <w:noProof/>
              </w:rPr>
              <w:tab/>
            </w:r>
            <w:r>
              <w:rPr>
                <w:noProof/>
              </w:rPr>
              <w:fldChar w:fldCharType="begin"/>
            </w:r>
            <w:r>
              <w:rPr>
                <w:noProof/>
              </w:rPr>
              <w:instrText xml:space="preserve"> PAGEREF _Toc232635705 \h </w:instrText>
            </w:r>
            <w:r>
              <w:rPr>
                <w:noProof/>
              </w:rPr>
            </w:r>
            <w:r>
              <w:rPr>
                <w:noProof/>
              </w:rPr>
              <w:fldChar w:fldCharType="separate"/>
            </w:r>
            <w:r>
              <w:rPr>
                <w:noProof/>
              </w:rPr>
              <w:t>1</w:t>
            </w:r>
            <w:r>
              <w:rPr>
                <w:noProof/>
              </w:rPr>
              <w:fldChar w:fldCharType="end"/>
            </w:r>
          </w:hyperlink>
        </w:p>
        <w:p w14:paraId="382AE5BA" w14:textId="77777777" w:rsidR="001E11FE" w:rsidRDefault="001E11FE">
          <w:pPr>
            <w:pStyle w:val="TOC2"/>
            <w:tabs>
              <w:tab w:val="right" w:leader="dot" w:pos="9350"/>
            </w:tabs>
            <w:rPr>
              <w:noProof/>
            </w:rPr>
          </w:pPr>
          <w:hyperlink w:anchor="_Toc232635706" w:history="1">
            <w:r w:rsidRPr="006A253B">
              <w:rPr>
                <w:rStyle w:val="Hyperlink"/>
                <w:noProof/>
              </w:rPr>
              <w:t>7.1. What the COSCs are — and are not</w:t>
            </w:r>
            <w:r>
              <w:rPr>
                <w:noProof/>
              </w:rPr>
              <w:tab/>
            </w:r>
            <w:r>
              <w:rPr>
                <w:noProof/>
              </w:rPr>
              <w:fldChar w:fldCharType="begin"/>
            </w:r>
            <w:r>
              <w:rPr>
                <w:noProof/>
              </w:rPr>
              <w:instrText xml:space="preserve"> PAGEREF _Toc232635706 \h </w:instrText>
            </w:r>
            <w:r>
              <w:rPr>
                <w:noProof/>
              </w:rPr>
            </w:r>
            <w:r>
              <w:rPr>
                <w:noProof/>
              </w:rPr>
              <w:fldChar w:fldCharType="separate"/>
            </w:r>
            <w:r>
              <w:rPr>
                <w:noProof/>
              </w:rPr>
              <w:t>1</w:t>
            </w:r>
            <w:r>
              <w:rPr>
                <w:noProof/>
              </w:rPr>
              <w:fldChar w:fldCharType="end"/>
            </w:r>
          </w:hyperlink>
        </w:p>
        <w:p w14:paraId="60BBF50C" w14:textId="77777777" w:rsidR="001E11FE" w:rsidRDefault="001E11FE">
          <w:pPr>
            <w:pStyle w:val="TOC2"/>
            <w:tabs>
              <w:tab w:val="right" w:leader="dot" w:pos="9350"/>
            </w:tabs>
            <w:rPr>
              <w:noProof/>
            </w:rPr>
          </w:pPr>
          <w:hyperlink w:anchor="_Toc232635707" w:history="1">
            <w:r w:rsidRPr="006A253B">
              <w:rPr>
                <w:rStyle w:val="Hyperlink"/>
                <w:noProof/>
              </w:rPr>
              <w:t>7.2. Key limitations to keep in mind</w:t>
            </w:r>
            <w:r>
              <w:rPr>
                <w:noProof/>
              </w:rPr>
              <w:tab/>
            </w:r>
            <w:r>
              <w:rPr>
                <w:noProof/>
              </w:rPr>
              <w:fldChar w:fldCharType="begin"/>
            </w:r>
            <w:r>
              <w:rPr>
                <w:noProof/>
              </w:rPr>
              <w:instrText xml:space="preserve"> PAGEREF _Toc232635707 \h </w:instrText>
            </w:r>
            <w:r>
              <w:rPr>
                <w:noProof/>
              </w:rPr>
            </w:r>
            <w:r>
              <w:rPr>
                <w:noProof/>
              </w:rPr>
              <w:fldChar w:fldCharType="separate"/>
            </w:r>
            <w:r>
              <w:rPr>
                <w:noProof/>
              </w:rPr>
              <w:t>1</w:t>
            </w:r>
            <w:r>
              <w:rPr>
                <w:noProof/>
              </w:rPr>
              <w:fldChar w:fldCharType="end"/>
            </w:r>
          </w:hyperlink>
        </w:p>
        <w:p w14:paraId="25B4BD74" w14:textId="77777777" w:rsidR="001E11FE" w:rsidRDefault="001E11FE">
          <w:pPr>
            <w:pStyle w:val="TOC2"/>
            <w:tabs>
              <w:tab w:val="right" w:leader="dot" w:pos="9350"/>
            </w:tabs>
            <w:rPr>
              <w:noProof/>
            </w:rPr>
          </w:pPr>
          <w:hyperlink w:anchor="_Toc232635708" w:history="1">
            <w:r w:rsidRPr="006A253B">
              <w:rPr>
                <w:rStyle w:val="Hyperlink"/>
                <w:noProof/>
              </w:rPr>
              <w:t>7.3. How the catalogs are validated and refined</w:t>
            </w:r>
            <w:r>
              <w:rPr>
                <w:noProof/>
              </w:rPr>
              <w:tab/>
            </w:r>
            <w:r>
              <w:rPr>
                <w:noProof/>
              </w:rPr>
              <w:fldChar w:fldCharType="begin"/>
            </w:r>
            <w:r>
              <w:rPr>
                <w:noProof/>
              </w:rPr>
              <w:instrText xml:space="preserve"> PAGEREF _Toc232635708 \h </w:instrText>
            </w:r>
            <w:r>
              <w:rPr>
                <w:noProof/>
              </w:rPr>
            </w:r>
            <w:r>
              <w:rPr>
                <w:noProof/>
              </w:rPr>
              <w:fldChar w:fldCharType="separate"/>
            </w:r>
            <w:r>
              <w:rPr>
                <w:noProof/>
              </w:rPr>
              <w:t>1</w:t>
            </w:r>
            <w:r>
              <w:rPr>
                <w:noProof/>
              </w:rPr>
              <w:fldChar w:fldCharType="end"/>
            </w:r>
          </w:hyperlink>
        </w:p>
        <w:p w14:paraId="21D4DACB" w14:textId="77777777" w:rsidR="001E11FE" w:rsidRDefault="001E11FE">
          <w:pPr>
            <w:pStyle w:val="TOC1"/>
            <w:tabs>
              <w:tab w:val="right" w:leader="dot" w:pos="9350"/>
            </w:tabs>
            <w:rPr>
              <w:noProof/>
            </w:rPr>
          </w:pPr>
          <w:hyperlink w:anchor="_Toc232635709" w:history="1">
            <w:r w:rsidRPr="006A253B">
              <w:rPr>
                <w:rStyle w:val="Hyperlink"/>
                <w:noProof/>
              </w:rPr>
              <w:t>Annex A. Industry Definitions of the Priority Sectors</w:t>
            </w:r>
            <w:r>
              <w:rPr>
                <w:noProof/>
              </w:rPr>
              <w:tab/>
            </w:r>
            <w:r>
              <w:rPr>
                <w:noProof/>
              </w:rPr>
              <w:fldChar w:fldCharType="begin"/>
            </w:r>
            <w:r>
              <w:rPr>
                <w:noProof/>
              </w:rPr>
              <w:instrText xml:space="preserve"> PAGEREF _Toc232635709 \h </w:instrText>
            </w:r>
            <w:r>
              <w:rPr>
                <w:noProof/>
              </w:rPr>
            </w:r>
            <w:r>
              <w:rPr>
                <w:noProof/>
              </w:rPr>
              <w:fldChar w:fldCharType="separate"/>
            </w:r>
            <w:r>
              <w:rPr>
                <w:noProof/>
              </w:rPr>
              <w:t>1</w:t>
            </w:r>
            <w:r>
              <w:rPr>
                <w:noProof/>
              </w:rPr>
              <w:fldChar w:fldCharType="end"/>
            </w:r>
          </w:hyperlink>
        </w:p>
        <w:p w14:paraId="7DDA5471" w14:textId="77777777" w:rsidR="001E11FE" w:rsidRDefault="001E11FE">
          <w:pPr>
            <w:pStyle w:val="TOC1"/>
            <w:tabs>
              <w:tab w:val="right" w:leader="dot" w:pos="9350"/>
            </w:tabs>
            <w:rPr>
              <w:noProof/>
            </w:rPr>
          </w:pPr>
          <w:hyperlink w:anchor="_Toc232635710" w:history="1">
            <w:r w:rsidRPr="006A253B">
              <w:rPr>
                <w:rStyle w:val="Hyperlink"/>
                <w:noProof/>
              </w:rPr>
              <w:t>Annex B. COSC Field Dictionary</w:t>
            </w:r>
            <w:r>
              <w:rPr>
                <w:noProof/>
              </w:rPr>
              <w:tab/>
            </w:r>
            <w:r>
              <w:rPr>
                <w:noProof/>
              </w:rPr>
              <w:fldChar w:fldCharType="begin"/>
            </w:r>
            <w:r>
              <w:rPr>
                <w:noProof/>
              </w:rPr>
              <w:instrText xml:space="preserve"> PAGEREF _Toc232635710 \h </w:instrText>
            </w:r>
            <w:r>
              <w:rPr>
                <w:noProof/>
              </w:rPr>
            </w:r>
            <w:r>
              <w:rPr>
                <w:noProof/>
              </w:rPr>
              <w:fldChar w:fldCharType="separate"/>
            </w:r>
            <w:r>
              <w:rPr>
                <w:noProof/>
              </w:rPr>
              <w:t>1</w:t>
            </w:r>
            <w:r>
              <w:rPr>
                <w:noProof/>
              </w:rPr>
              <w:fldChar w:fldCharType="end"/>
            </w:r>
          </w:hyperlink>
        </w:p>
        <w:p w14:paraId="3BE663D2" w14:textId="77777777" w:rsidR="001E11FE" w:rsidRDefault="001E11FE">
          <w:pPr>
            <w:pStyle w:val="TOC1"/>
            <w:tabs>
              <w:tab w:val="right" w:leader="dot" w:pos="9350"/>
            </w:tabs>
            <w:rPr>
              <w:noProof/>
            </w:rPr>
          </w:pPr>
          <w:hyperlink w:anchor="_Toc232635711" w:history="1">
            <w:r w:rsidRPr="006A253B">
              <w:rPr>
                <w:rStyle w:val="Hyperlink"/>
                <w:noProof/>
              </w:rPr>
              <w:t>Annex C. Enrichment Definitions (GOSC Reference Fields)</w:t>
            </w:r>
            <w:r>
              <w:rPr>
                <w:noProof/>
              </w:rPr>
              <w:tab/>
            </w:r>
            <w:r>
              <w:rPr>
                <w:noProof/>
              </w:rPr>
              <w:fldChar w:fldCharType="begin"/>
            </w:r>
            <w:r>
              <w:rPr>
                <w:noProof/>
              </w:rPr>
              <w:instrText xml:space="preserve"> PAGEREF _Toc232635711 \h </w:instrText>
            </w:r>
            <w:r>
              <w:rPr>
                <w:noProof/>
              </w:rPr>
            </w:r>
            <w:r>
              <w:rPr>
                <w:noProof/>
              </w:rPr>
              <w:fldChar w:fldCharType="separate"/>
            </w:r>
            <w:r>
              <w:rPr>
                <w:noProof/>
              </w:rPr>
              <w:t>1</w:t>
            </w:r>
            <w:r>
              <w:rPr>
                <w:noProof/>
              </w:rPr>
              <w:fldChar w:fldCharType="end"/>
            </w:r>
          </w:hyperlink>
        </w:p>
        <w:p w14:paraId="10903101" w14:textId="77777777" w:rsidR="001E11FE" w:rsidRDefault="001E11FE">
          <w:pPr>
            <w:pStyle w:val="TOC2"/>
            <w:tabs>
              <w:tab w:val="right" w:leader="dot" w:pos="9350"/>
            </w:tabs>
            <w:rPr>
              <w:noProof/>
            </w:rPr>
          </w:pPr>
          <w:hyperlink w:anchor="_Toc232635712" w:history="1">
            <w:r w:rsidRPr="006A253B">
              <w:rPr>
                <w:rStyle w:val="Hyperlink"/>
                <w:noProof/>
              </w:rPr>
              <w:t>C.1. Entry-level education and OTJ training categories</w:t>
            </w:r>
            <w:r>
              <w:rPr>
                <w:noProof/>
              </w:rPr>
              <w:tab/>
            </w:r>
            <w:r>
              <w:rPr>
                <w:noProof/>
              </w:rPr>
              <w:fldChar w:fldCharType="begin"/>
            </w:r>
            <w:r>
              <w:rPr>
                <w:noProof/>
              </w:rPr>
              <w:instrText xml:space="preserve"> PAGEREF _Toc232635712 \h </w:instrText>
            </w:r>
            <w:r>
              <w:rPr>
                <w:noProof/>
              </w:rPr>
            </w:r>
            <w:r>
              <w:rPr>
                <w:noProof/>
              </w:rPr>
              <w:fldChar w:fldCharType="separate"/>
            </w:r>
            <w:r>
              <w:rPr>
                <w:noProof/>
              </w:rPr>
              <w:t>1</w:t>
            </w:r>
            <w:r>
              <w:rPr>
                <w:noProof/>
              </w:rPr>
              <w:fldChar w:fldCharType="end"/>
            </w:r>
          </w:hyperlink>
        </w:p>
        <w:p w14:paraId="06B4B24F" w14:textId="77777777" w:rsidR="001E11FE" w:rsidRDefault="001E11FE">
          <w:pPr>
            <w:pStyle w:val="TOC2"/>
            <w:tabs>
              <w:tab w:val="right" w:leader="dot" w:pos="9350"/>
            </w:tabs>
            <w:rPr>
              <w:noProof/>
            </w:rPr>
          </w:pPr>
          <w:hyperlink w:anchor="_Toc232635713" w:history="1">
            <w:r w:rsidRPr="006A253B">
              <w:rPr>
                <w:rStyle w:val="Hyperlink"/>
                <w:noProof/>
              </w:rPr>
              <w:t>C.2. Composite “delivery method”</w:t>
            </w:r>
            <w:r>
              <w:rPr>
                <w:noProof/>
              </w:rPr>
              <w:tab/>
            </w:r>
            <w:r>
              <w:rPr>
                <w:noProof/>
              </w:rPr>
              <w:fldChar w:fldCharType="begin"/>
            </w:r>
            <w:r>
              <w:rPr>
                <w:noProof/>
              </w:rPr>
              <w:instrText xml:space="preserve"> PAGEREF _Toc232635713 \h </w:instrText>
            </w:r>
            <w:r>
              <w:rPr>
                <w:noProof/>
              </w:rPr>
            </w:r>
            <w:r>
              <w:rPr>
                <w:noProof/>
              </w:rPr>
              <w:fldChar w:fldCharType="separate"/>
            </w:r>
            <w:r>
              <w:rPr>
                <w:noProof/>
              </w:rPr>
              <w:t>1</w:t>
            </w:r>
            <w:r>
              <w:rPr>
                <w:noProof/>
              </w:rPr>
              <w:fldChar w:fldCharType="end"/>
            </w:r>
          </w:hyperlink>
        </w:p>
        <w:p w14:paraId="5D2923FD" w14:textId="77777777" w:rsidR="001E11FE" w:rsidRDefault="001E11FE">
          <w:pPr>
            <w:pStyle w:val="TOC2"/>
            <w:tabs>
              <w:tab w:val="right" w:leader="dot" w:pos="9350"/>
            </w:tabs>
            <w:rPr>
              <w:noProof/>
            </w:rPr>
          </w:pPr>
          <w:hyperlink w:anchor="_Toc232635714" w:history="1">
            <w:r w:rsidRPr="006A253B">
              <w:rPr>
                <w:rStyle w:val="Hyperlink"/>
                <w:noProof/>
              </w:rPr>
              <w:t>C.3. Skills measures</w:t>
            </w:r>
            <w:r>
              <w:rPr>
                <w:noProof/>
              </w:rPr>
              <w:tab/>
            </w:r>
            <w:r>
              <w:rPr>
                <w:noProof/>
              </w:rPr>
              <w:fldChar w:fldCharType="begin"/>
            </w:r>
            <w:r>
              <w:rPr>
                <w:noProof/>
              </w:rPr>
              <w:instrText xml:space="preserve"> PAGEREF _Toc232635714 \h </w:instrText>
            </w:r>
            <w:r>
              <w:rPr>
                <w:noProof/>
              </w:rPr>
            </w:r>
            <w:r>
              <w:rPr>
                <w:noProof/>
              </w:rPr>
              <w:fldChar w:fldCharType="separate"/>
            </w:r>
            <w:r>
              <w:rPr>
                <w:noProof/>
              </w:rPr>
              <w:t>1</w:t>
            </w:r>
            <w:r>
              <w:rPr>
                <w:noProof/>
              </w:rPr>
              <w:fldChar w:fldCharType="end"/>
            </w:r>
          </w:hyperlink>
        </w:p>
        <w:p w14:paraId="0E568FF5" w14:textId="77777777" w:rsidR="000409C7" w:rsidRDefault="00155F50">
          <w:r>
            <w:fldChar w:fldCharType="end"/>
          </w:r>
        </w:p>
      </w:sdtContent>
    </w:sdt>
    <w:p w14:paraId="29DD64D3" w14:textId="77777777" w:rsidR="000409C7" w:rsidRDefault="00155F50">
      <w:r>
        <w:br w:type="page"/>
      </w:r>
    </w:p>
    <w:p w14:paraId="2D71BCAF" w14:textId="77777777" w:rsidR="000409C7" w:rsidRDefault="000409C7">
      <w:pPr>
        <w:sectPr w:rsidR="000409C7">
          <w:pgSz w:w="12240" w:h="15840"/>
          <w:pgMar w:top="1440" w:right="1440" w:bottom="1440" w:left="1440" w:header="708" w:footer="708" w:gutter="0"/>
          <w:cols w:space="720"/>
          <w:docGrid w:linePitch="360"/>
        </w:sectPr>
      </w:pPr>
    </w:p>
    <w:p w14:paraId="7F604ABB" w14:textId="77777777" w:rsidR="000409C7" w:rsidRDefault="00155F50">
      <w:pPr>
        <w:pStyle w:val="Heading1"/>
      </w:pPr>
      <w:bookmarkStart w:id="0" w:name="_Toc232635681"/>
      <w:r>
        <w:lastRenderedPageBreak/>
        <w:t>1. Introduction and Purpose</w:t>
      </w:r>
      <w:bookmarkEnd w:id="0"/>
    </w:p>
    <w:p w14:paraId="2C1FDAE0" w14:textId="77777777" w:rsidR="000409C7" w:rsidRDefault="00155F50">
      <w:pPr>
        <w:spacing w:after="160" w:line="276" w:lineRule="auto"/>
      </w:pPr>
      <w:r>
        <w:t>The Country-level Occupations and Skills Catalogs (COSCs) are a set of data-driven reference catalogs that describe the structure of employment within priority economic sectors in South Asia. For each country, a COSC identifies the occupations most prevalent in each priority sector and characterizes them along a consistent set of indicators — such as the typical level of education of workers, the occupation’s share of sector employment, wages, and the prevalence of self-employment, unpaid work, and informal</w:t>
      </w:r>
      <w:r>
        <w:t>ity.</w:t>
      </w:r>
    </w:p>
    <w:p w14:paraId="5D1C8F6D" w14:textId="77777777" w:rsidR="000409C7" w:rsidRDefault="00155F50">
      <w:pPr>
        <w:spacing w:after="160" w:line="276" w:lineRule="auto"/>
      </w:pPr>
      <w:r>
        <w:t>The COSCs were developed to support a clear and operationally useful objective: to help country and sector teams understand the education, skills, and tasks associated with the spectrum of occupations within each priority sector</w:t>
      </w:r>
      <w:r>
        <w:rPr>
          <w:rStyle w:val="FootnoteReference"/>
        </w:rPr>
        <w:footnoteReference w:id="1"/>
      </w:r>
      <w:r>
        <w:t>, and to use that understanding to design and implement sector-specific skilling solutions. A COSC has been constructed for each of the six countries in South Asia</w:t>
      </w:r>
      <w:r>
        <w:rPr>
          <w:rStyle w:val="FootnoteReference"/>
        </w:rPr>
        <w:footnoteReference w:id="2"/>
      </w:r>
      <w:r>
        <w:t>, covering the five priority sectors.</w:t>
      </w:r>
    </w:p>
    <w:p w14:paraId="2BB73073" w14:textId="77777777" w:rsidR="000409C7" w:rsidRDefault="00155F50">
      <w:pPr>
        <w:spacing w:after="160" w:line="276" w:lineRule="auto"/>
      </w:pPr>
      <w:r>
        <w:t>Education and training systems frequently lack detailed information on the occupations that drive employment within sectors and the skills required to perform them. As a result, skills policies are often designed around broad occupational categories or generic training programs rather than the specific workforce needs of key industries. The COSCs were created to strengthen this information base — linking sectors, occupations, and skills — so that skilling investments can be better targeted to where they are</w:t>
      </w:r>
      <w:r>
        <w:t xml:space="preserve"> most needed.</w:t>
      </w:r>
    </w:p>
    <w:p w14:paraId="2DCA7C2D" w14:textId="77777777" w:rsidR="000409C7" w:rsidRDefault="00155F50">
      <w:pPr>
        <w:pStyle w:val="Heading2"/>
      </w:pPr>
      <w:bookmarkStart w:id="1" w:name="_Toc232635682"/>
      <w:r>
        <w:t>1.1. What this note covers</w:t>
      </w:r>
      <w:bookmarkEnd w:id="1"/>
    </w:p>
    <w:p w14:paraId="4C0AA05D" w14:textId="77777777" w:rsidR="000409C7" w:rsidRDefault="00155F50">
      <w:pPr>
        <w:spacing w:after="160" w:line="276" w:lineRule="auto"/>
      </w:pPr>
      <w:r>
        <w:t>This note is written to be read on its own. It explains, in sequence:</w:t>
      </w:r>
    </w:p>
    <w:p w14:paraId="4EB6FDB4" w14:textId="77777777" w:rsidR="000409C7" w:rsidRDefault="00155F50">
      <w:pPr>
        <w:pStyle w:val="ListParagraph"/>
        <w:numPr>
          <w:ilvl w:val="0"/>
          <w:numId w:val="2"/>
        </w:numPr>
        <w:spacing w:after="80" w:line="276" w:lineRule="auto"/>
      </w:pPr>
      <w:r>
        <w:rPr>
          <w:b/>
          <w:bCs/>
        </w:rPr>
        <w:t>the key concepts and definitions</w:t>
      </w:r>
      <w:r>
        <w:t xml:space="preserve"> used throughout the catalogs (Section 2);</w:t>
      </w:r>
    </w:p>
    <w:p w14:paraId="5D2FCE23" w14:textId="77777777" w:rsidR="000409C7" w:rsidRDefault="00155F50">
      <w:pPr>
        <w:pStyle w:val="ListParagraph"/>
        <w:numPr>
          <w:ilvl w:val="0"/>
          <w:numId w:val="2"/>
        </w:numPr>
        <w:spacing w:after="80" w:line="276" w:lineRule="auto"/>
      </w:pPr>
      <w:r>
        <w:rPr>
          <w:b/>
          <w:bCs/>
        </w:rPr>
        <w:t>the data sources</w:t>
      </w:r>
      <w:r>
        <w:t xml:space="preserve"> on which the COSCs are built (Section 3);</w:t>
      </w:r>
    </w:p>
    <w:p w14:paraId="0E03F633" w14:textId="77777777" w:rsidR="000409C7" w:rsidRDefault="00155F50">
      <w:pPr>
        <w:pStyle w:val="ListParagraph"/>
        <w:numPr>
          <w:ilvl w:val="0"/>
          <w:numId w:val="2"/>
        </w:numPr>
        <w:spacing w:after="80" w:line="276" w:lineRule="auto"/>
      </w:pPr>
      <w:r>
        <w:rPr>
          <w:b/>
          <w:bCs/>
        </w:rPr>
        <w:t>the step-by-step methodology</w:t>
      </w:r>
      <w:r>
        <w:t xml:space="preserve"> used to construct each catalog (Section 4);</w:t>
      </w:r>
    </w:p>
    <w:p w14:paraId="4908C211" w14:textId="77777777" w:rsidR="000409C7" w:rsidRDefault="00155F50">
      <w:pPr>
        <w:pStyle w:val="ListParagraph"/>
        <w:numPr>
          <w:ilvl w:val="0"/>
          <w:numId w:val="2"/>
        </w:numPr>
        <w:spacing w:after="80" w:line="276" w:lineRule="auto"/>
      </w:pPr>
      <w:r>
        <w:rPr>
          <w:b/>
          <w:bCs/>
        </w:rPr>
        <w:t>the information the catalogs contain</w:t>
      </w:r>
      <w:r>
        <w:t>, field by field (Section 5);</w:t>
      </w:r>
    </w:p>
    <w:p w14:paraId="7009E136" w14:textId="77777777" w:rsidR="000409C7" w:rsidRDefault="00155F50">
      <w:pPr>
        <w:pStyle w:val="ListParagraph"/>
        <w:numPr>
          <w:ilvl w:val="0"/>
          <w:numId w:val="2"/>
        </w:numPr>
        <w:spacing w:after="80" w:line="276" w:lineRule="auto"/>
      </w:pPr>
      <w:r>
        <w:rPr>
          <w:b/>
          <w:bCs/>
        </w:rPr>
        <w:t>worked examples</w:t>
      </w:r>
      <w:r>
        <w:t xml:space="preserve"> of how the catalogs can be read and used (Section 6); and</w:t>
      </w:r>
    </w:p>
    <w:p w14:paraId="4611C90E" w14:textId="77777777" w:rsidR="000409C7" w:rsidRDefault="00155F50">
      <w:pPr>
        <w:pStyle w:val="ListParagraph"/>
        <w:numPr>
          <w:ilvl w:val="0"/>
          <w:numId w:val="2"/>
        </w:numPr>
        <w:spacing w:after="80" w:line="276" w:lineRule="auto"/>
      </w:pPr>
      <w:r>
        <w:rPr>
          <w:b/>
          <w:bCs/>
        </w:rPr>
        <w:t>interpretation guidance, limitations, and validation</w:t>
      </w:r>
      <w:r>
        <w:t xml:space="preserve"> (Section 7).</w:t>
      </w:r>
    </w:p>
    <w:p w14:paraId="335B026B" w14:textId="77777777" w:rsidR="000409C7" w:rsidRDefault="00155F50">
      <w:pPr>
        <w:spacing w:after="160" w:line="276" w:lineRule="auto"/>
      </w:pPr>
      <w:r>
        <w:t>Three annexes provide reference detail: the industry definitions of the priority sectors (Annex A), a complete field dictionary for the catalogs (Annex B), and the definitions used for the enrichment variables drawn from the global reference framework (Annex C).</w:t>
      </w:r>
    </w:p>
    <w:p w14:paraId="45787EAA" w14:textId="77777777" w:rsidR="000409C7" w:rsidRDefault="00155F50">
      <w:pPr>
        <w:pStyle w:val="Heading1"/>
      </w:pPr>
      <w:bookmarkStart w:id="2" w:name="_Toc232635683"/>
      <w:r>
        <w:t>2. Key Concepts and Definitions</w:t>
      </w:r>
      <w:bookmarkEnd w:id="2"/>
    </w:p>
    <w:p w14:paraId="3AA017A6" w14:textId="77777777" w:rsidR="000409C7" w:rsidRDefault="00155F50">
      <w:pPr>
        <w:pStyle w:val="Heading2"/>
      </w:pPr>
      <w:bookmarkStart w:id="3" w:name="_Toc232635684"/>
      <w:r>
        <w:t>2.1. Priority sectors</w:t>
      </w:r>
      <w:bookmarkEnd w:id="3"/>
    </w:p>
    <w:p w14:paraId="2AB8179E" w14:textId="77777777" w:rsidR="000409C7" w:rsidRDefault="00155F50">
      <w:pPr>
        <w:spacing w:after="160" w:line="276" w:lineRule="auto"/>
      </w:pPr>
      <w:r>
        <w:t>The catalogs focus on five priority sectors identified for their potential to generate direct and indirect local jobs. Each sector is defined not by a single industry but by a group of related industries (see Annex A for the full industry definitions):</w:t>
      </w:r>
    </w:p>
    <w:p w14:paraId="736ED9D8" w14:textId="77777777" w:rsidR="000409C7" w:rsidRDefault="00155F50">
      <w:pPr>
        <w:pStyle w:val="ListParagraph"/>
        <w:numPr>
          <w:ilvl w:val="0"/>
          <w:numId w:val="2"/>
        </w:numPr>
        <w:spacing w:after="80" w:line="276" w:lineRule="auto"/>
      </w:pPr>
      <w:r>
        <w:rPr>
          <w:b/>
          <w:bCs/>
        </w:rPr>
        <w:t>Infrastructure and Energy</w:t>
      </w:r>
      <w:r>
        <w:t xml:space="preserve"> — electricity, gas and water supply, sewerage and waste management, construction, and telecommunications.</w:t>
      </w:r>
    </w:p>
    <w:p w14:paraId="7EA81E50" w14:textId="77777777" w:rsidR="000409C7" w:rsidRDefault="00155F50">
      <w:pPr>
        <w:pStyle w:val="ListParagraph"/>
        <w:numPr>
          <w:ilvl w:val="0"/>
          <w:numId w:val="2"/>
        </w:numPr>
        <w:spacing w:after="80" w:line="276" w:lineRule="auto"/>
      </w:pPr>
      <w:r>
        <w:rPr>
          <w:b/>
          <w:bCs/>
        </w:rPr>
        <w:t>Manufacturing</w:t>
      </w:r>
      <w:r>
        <w:t xml:space="preserve"> — all manufacturing activities, excluding food, beverage, and tobacco processing (which is counted under agribusiness).</w:t>
      </w:r>
    </w:p>
    <w:p w14:paraId="129FE42B" w14:textId="77777777" w:rsidR="000409C7" w:rsidRDefault="00155F50">
      <w:pPr>
        <w:pStyle w:val="ListParagraph"/>
        <w:numPr>
          <w:ilvl w:val="0"/>
          <w:numId w:val="2"/>
        </w:numPr>
        <w:spacing w:after="80" w:line="276" w:lineRule="auto"/>
      </w:pPr>
      <w:r>
        <w:rPr>
          <w:b/>
          <w:bCs/>
        </w:rPr>
        <w:t>Healthcare</w:t>
      </w:r>
      <w:r>
        <w:t xml:space="preserve"> — human health activities and residential care activities.</w:t>
      </w:r>
    </w:p>
    <w:p w14:paraId="1B00F7E7" w14:textId="77777777" w:rsidR="000409C7" w:rsidRDefault="00155F50">
      <w:pPr>
        <w:pStyle w:val="ListParagraph"/>
        <w:numPr>
          <w:ilvl w:val="0"/>
          <w:numId w:val="2"/>
        </w:numPr>
        <w:spacing w:after="80" w:line="276" w:lineRule="auto"/>
      </w:pPr>
      <w:r>
        <w:rPr>
          <w:b/>
          <w:bCs/>
        </w:rPr>
        <w:t>Tourism</w:t>
      </w:r>
      <w:r>
        <w:t xml:space="preserve"> — accommodation, food and beverage services, passenger transport, travel services, and recreation-related activities, following the International Labour Organization (ILO) definition.</w:t>
      </w:r>
    </w:p>
    <w:p w14:paraId="0F3307D4" w14:textId="77777777" w:rsidR="000409C7" w:rsidRDefault="00155F50">
      <w:pPr>
        <w:pStyle w:val="ListParagraph"/>
        <w:numPr>
          <w:ilvl w:val="0"/>
          <w:numId w:val="2"/>
        </w:numPr>
        <w:spacing w:after="80" w:line="276" w:lineRule="auto"/>
      </w:pPr>
      <w:r>
        <w:rPr>
          <w:b/>
          <w:bCs/>
        </w:rPr>
        <w:t>Agribusiness</w:t>
      </w:r>
      <w:r>
        <w:t xml:space="preserve"> — crop and animal production, forestry and fishing, together with the manufacture of food products, beverages, and tobacco.</w:t>
      </w:r>
    </w:p>
    <w:p w14:paraId="33BFF841" w14:textId="77777777" w:rsidR="000409C7" w:rsidRDefault="00155F50">
      <w:pPr>
        <w:pStyle w:val="Heading2"/>
      </w:pPr>
      <w:bookmarkStart w:id="4" w:name="_Toc232635685"/>
      <w:r>
        <w:t>2.2. Occupations and the sector–occupation pair</w:t>
      </w:r>
      <w:bookmarkEnd w:id="4"/>
    </w:p>
    <w:p w14:paraId="66A39DD8" w14:textId="77777777" w:rsidR="000409C7" w:rsidRDefault="00155F50">
      <w:pPr>
        <w:spacing w:after="160" w:line="276" w:lineRule="auto"/>
      </w:pPr>
      <w:r>
        <w:t>An occupation is a set of jobs whose main tasks and duties are similar. In the COSCs, occupations are identified using the International Standard Classification of Occupations (ISCO), at the most detailed level that each country’s survey data allow.</w:t>
      </w:r>
    </w:p>
    <w:p w14:paraId="2DEB4535" w14:textId="77777777" w:rsidR="000409C7" w:rsidRDefault="00155F50">
      <w:pPr>
        <w:spacing w:after="160" w:line="276" w:lineRule="auto"/>
      </w:pPr>
      <w:r>
        <w:t xml:space="preserve">The basic unit of analysis in a COSC is the </w:t>
      </w:r>
      <w:r>
        <w:rPr>
          <w:b/>
          <w:bCs/>
        </w:rPr>
        <w:t>sector–occupation pair</w:t>
      </w:r>
      <w:r>
        <w:t xml:space="preserve"> — a specific occupation observed within a specific priority sector (for example, “cooks” within the tourism sector). Every indicator in the catalog is computed at this level, because the same occupation can play very different roles, and have different characteristics, across sectors.</w:t>
      </w:r>
    </w:p>
    <w:p w14:paraId="35CABEA6" w14:textId="77777777" w:rsidR="000409C7" w:rsidRDefault="00155F50">
      <w:pPr>
        <w:pStyle w:val="Heading2"/>
      </w:pPr>
      <w:bookmarkStart w:id="5" w:name="_Toc232635686"/>
      <w:r>
        <w:t>2.3. Skills</w:t>
      </w:r>
      <w:bookmarkEnd w:id="5"/>
    </w:p>
    <w:p w14:paraId="3E00A937" w14:textId="77777777" w:rsidR="000409C7" w:rsidRDefault="00155F50">
      <w:pPr>
        <w:spacing w:after="160" w:line="276" w:lineRule="auto"/>
      </w:pPr>
      <w:r>
        <w:t>Skills are the capabilities workers use to perform the tasks of an occupation. They span several domains — cognitive (e.g., literacy, numeracy, critical thinking, complex problem solving), technical (e.g., equipment operation, maintenance, programming), and socio-emotional/interpersonal (e.g., coordination, service orientation, social perceptiveness). National labor force surveys in South Asia do not measure these skills directly; the catalogs therefore draw skills information from a global reference framew</w:t>
      </w:r>
      <w:r>
        <w:t>ork, described next.</w:t>
      </w:r>
    </w:p>
    <w:p w14:paraId="3A6884B0" w14:textId="77777777" w:rsidR="000409C7" w:rsidRDefault="00155F50">
      <w:pPr>
        <w:pStyle w:val="Heading2"/>
      </w:pPr>
      <w:bookmarkStart w:id="6" w:name="_Toc232635687"/>
      <w:r>
        <w:t>2.4. COSC and GOSC: two complementary catalogs</w:t>
      </w:r>
      <w:bookmarkEnd w:id="6"/>
    </w:p>
    <w:p w14:paraId="56B72861" w14:textId="77777777" w:rsidR="000409C7" w:rsidRDefault="00155F50">
      <w:pPr>
        <w:spacing w:after="160" w:line="276" w:lineRule="auto"/>
      </w:pPr>
      <w:r>
        <w:t>It is important to distinguish two related products:</w:t>
      </w:r>
    </w:p>
    <w:p w14:paraId="4B950647" w14:textId="77777777" w:rsidR="000409C7" w:rsidRDefault="00155F50">
      <w:pPr>
        <w:pStyle w:val="ListParagraph"/>
        <w:numPr>
          <w:ilvl w:val="0"/>
          <w:numId w:val="2"/>
        </w:numPr>
        <w:spacing w:after="80" w:line="276" w:lineRule="auto"/>
      </w:pPr>
      <w:r>
        <w:rPr>
          <w:b/>
          <w:bCs/>
        </w:rPr>
        <w:t>The COSC (Country-level Occupations and Skills Catalog)</w:t>
      </w:r>
      <w:r>
        <w:t xml:space="preserve"> is built from each country’s own household and labor force survey data. It describes which occupations matter within each sector and the education, wage, and job-quality profile of the workers in them.</w:t>
      </w:r>
    </w:p>
    <w:p w14:paraId="2F1EA0FE" w14:textId="77777777" w:rsidR="000409C7" w:rsidRDefault="00155F50">
      <w:pPr>
        <w:pStyle w:val="ListParagraph"/>
        <w:numPr>
          <w:ilvl w:val="0"/>
          <w:numId w:val="2"/>
        </w:numPr>
        <w:spacing w:after="80" w:line="276" w:lineRule="auto"/>
      </w:pPr>
      <w:r>
        <w:rPr>
          <w:b/>
          <w:bCs/>
        </w:rPr>
        <w:t>The GOSC (Global Occupations and Skills Catalog)</w:t>
      </w:r>
      <w:r>
        <w:t xml:space="preserve"> is a referential framework built from rich U.S. labor market data. It supplies the information that national surveys cannot — the tasks performed within occupations, the skills required, and the typical training pathways — and is linked to each COSC to enrich it.</w:t>
      </w:r>
    </w:p>
    <w:p w14:paraId="451309E3" w14:textId="77777777" w:rsidR="000409C7" w:rsidRDefault="00155F50">
      <w:pPr>
        <w:spacing w:after="160" w:line="276" w:lineRule="auto"/>
      </w:pPr>
      <w:r>
        <w:t xml:space="preserve">In short, the COSC answers </w:t>
      </w:r>
      <w:r>
        <w:rPr>
          <w:i/>
          <w:iCs/>
        </w:rPr>
        <w:t>which occupations matter and who works in them</w:t>
      </w:r>
      <w:r>
        <w:t xml:space="preserve">, while the GOSC helps answer </w:t>
      </w:r>
      <w:r>
        <w:rPr>
          <w:i/>
          <w:iCs/>
        </w:rPr>
        <w:t>what those workers do, what skills they need, and how those skills are typically acquired</w:t>
      </w:r>
      <w:r>
        <w:t>. This note focuses on the COSC; the GOSC is described where it is used to enrich the country catalogs (Section 4, Step 4) and in Annex C.</w:t>
      </w:r>
    </w:p>
    <w:p w14:paraId="066F2C99" w14:textId="77777777" w:rsidR="000409C7" w:rsidRDefault="00155F50">
      <w:pPr>
        <w:pStyle w:val="Heading1"/>
      </w:pPr>
      <w:bookmarkStart w:id="7" w:name="_Toc232635688"/>
      <w:r>
        <w:t>3. Data Sources</w:t>
      </w:r>
      <w:bookmarkEnd w:id="7"/>
    </w:p>
    <w:p w14:paraId="720EA8F8" w14:textId="77777777" w:rsidR="000409C7" w:rsidRDefault="00155F50">
      <w:pPr>
        <w:spacing w:after="160" w:line="276" w:lineRule="auto"/>
      </w:pPr>
      <w:r>
        <w:t>The construction of the COSCs relies on two main groups of data sources: national survey data that form the backbone of each country catalog, and the global reference data used for enrichment.</w:t>
      </w:r>
    </w:p>
    <w:p w14:paraId="3775258F" w14:textId="77777777" w:rsidR="000409C7" w:rsidRDefault="00155F50">
      <w:pPr>
        <w:pStyle w:val="Heading2"/>
      </w:pPr>
      <w:bookmarkStart w:id="8" w:name="_Toc232635689"/>
      <w:r>
        <w:t>3.1. National labor force and household survey data</w:t>
      </w:r>
      <w:bookmarkEnd w:id="8"/>
    </w:p>
    <w:p w14:paraId="242EB558" w14:textId="77777777" w:rsidR="000409C7" w:rsidRDefault="00155F50">
      <w:pPr>
        <w:spacing w:after="160" w:line="276" w:lineRule="auto"/>
      </w:pPr>
      <w:r>
        <w:t>The core of each COSC is built from nationally representative labor force surveys (LFS) and household survey microdata for each of the six countries. These data are used because they capture the full structure of employment — including formal and informal work, self-employment, and both paid and unpaid activities — which is essential for understanding labor markets in South Asia, where informal and self-employment are widespread.</w:t>
      </w:r>
    </w:p>
    <w:p w14:paraId="2EEFB501" w14:textId="77777777" w:rsidR="000409C7" w:rsidRDefault="00155F50">
      <w:pPr>
        <w:spacing w:after="160" w:line="276" w:lineRule="auto"/>
      </w:pPr>
      <w:r>
        <w:t xml:space="preserve">From these microdata, the team computes occupation-level indicators within each priority sector, including the typical level of education, wages, total employment, and measures of informality and self-employment. The illustrative results presented in Section 6 use the </w:t>
      </w:r>
      <w:r>
        <w:rPr>
          <w:i/>
          <w:iCs/>
        </w:rPr>
        <w:t>Bangladesh 2022 Quarterly Labor Force Survey</w:t>
      </w:r>
      <w:r>
        <w:t xml:space="preserve"> as an example.</w:t>
      </w:r>
    </w:p>
    <w:p w14:paraId="3CFFBE81" w14:textId="77777777" w:rsidR="000409C7" w:rsidRDefault="00155F50">
      <w:pPr>
        <w:pStyle w:val="Heading2"/>
      </w:pPr>
      <w:bookmarkStart w:id="9" w:name="_Toc232635690"/>
      <w:r>
        <w:t>3.2. Industry-based sector definitions</w:t>
      </w:r>
      <w:bookmarkEnd w:id="9"/>
    </w:p>
    <w:p w14:paraId="3A3C3E38" w14:textId="77777777" w:rsidR="000409C7" w:rsidRDefault="00155F50">
      <w:pPr>
        <w:spacing w:after="160" w:line="276" w:lineRule="auto"/>
      </w:pPr>
      <w:r>
        <w:t>To delineate the priority sectors consistently, the catalogs use the industry-based sector definitions developed by the World Bank Global Jobs and Growth team, which are grounded in the International Standard Industrial Classification of All Economic Activities (ISIC), Revision 4.</w:t>
      </w:r>
      <w:r>
        <w:rPr>
          <w:rStyle w:val="FootnoteReference"/>
        </w:rPr>
        <w:footnoteReference w:id="3"/>
      </w:r>
      <w:r>
        <w:t xml:space="preserve"> These definitions translate each priority sector into a precise set of ISIC industry codes (Annex A).</w:t>
      </w:r>
    </w:p>
    <w:p w14:paraId="342BBEA4" w14:textId="77777777" w:rsidR="000409C7" w:rsidRDefault="00155F50">
      <w:pPr>
        <w:pStyle w:val="Heading2"/>
      </w:pPr>
      <w:bookmarkStart w:id="10" w:name="_Toc232635691"/>
      <w:r>
        <w:t>3.3. Global reference data for enrichment</w:t>
      </w:r>
      <w:bookmarkEnd w:id="10"/>
    </w:p>
    <w:p w14:paraId="0D3D5A52" w14:textId="77777777" w:rsidR="000409C7" w:rsidRDefault="00155F50">
      <w:pPr>
        <w:spacing w:after="160" w:line="276" w:lineRule="auto"/>
      </w:pPr>
      <w:r>
        <w:t>Information on tasks, skills, and training pathways — which national surveys do not collect — is drawn from the Global Occupations and Skills Catalog (GOSC). The GOSC is constructed from three U.S. data sources: the U.S. National Employment Matrix (Bureau of Labor Statistics), the U.S. Occupational Outlook Handbook (OOH), and the O*NET database.</w:t>
      </w:r>
      <w:r>
        <w:rPr>
          <w:rStyle w:val="FootnoteReference"/>
        </w:rPr>
        <w:footnoteReference w:id="4"/>
      </w:r>
      <w:r>
        <w:t xml:space="preserve"> These provide standardized task descriptions, skill importance and proficiency measures, entry-level education requirements, and on-the-job training categories that can be linked to occupations in the COSCs.</w:t>
      </w:r>
    </w:p>
    <w:p w14:paraId="05BEACDF" w14:textId="77777777" w:rsidR="000409C7" w:rsidRDefault="00155F50">
      <w:pPr>
        <w:pStyle w:val="Heading1"/>
      </w:pPr>
      <w:bookmarkStart w:id="11" w:name="_Toc232635692"/>
      <w:r>
        <w:t>4. How the COSCs Were Constructed</w:t>
      </w:r>
      <w:bookmarkEnd w:id="11"/>
    </w:p>
    <w:p w14:paraId="7EFA9983" w14:textId="77777777" w:rsidR="000409C7" w:rsidRDefault="00155F50">
      <w:pPr>
        <w:spacing w:after="160" w:line="276" w:lineRule="auto"/>
      </w:pPr>
      <w:r>
        <w:t>Each COSC is built through a four-step methodology. The first three steps produce the country catalog from national survey data; the fourth step enriches it with the global reference framework.</w:t>
      </w:r>
    </w:p>
    <w:p w14:paraId="6EE020C3" w14:textId="77777777" w:rsidR="000409C7" w:rsidRDefault="00155F50">
      <w:pPr>
        <w:pStyle w:val="Heading2"/>
      </w:pPr>
      <w:bookmarkStart w:id="12" w:name="_Toc232635693"/>
      <w:r>
        <w:t>4.1. Step 1 — Define the priority sectors at the industry level</w:t>
      </w:r>
      <w:bookmarkEnd w:id="12"/>
    </w:p>
    <w:p w14:paraId="2755C184" w14:textId="77777777" w:rsidR="000409C7" w:rsidRDefault="00155F50">
      <w:pPr>
        <w:spacing w:after="160" w:line="276" w:lineRule="auto"/>
      </w:pPr>
      <w:r>
        <w:t>The starting point is to determine which industries belong to each priority sector. Using the World Bank industry-based definitions, each priority sector is expressed as a specific set of ISIC Rev. 4 industry codes.</w:t>
      </w:r>
      <w:r>
        <w:rPr>
          <w:rStyle w:val="FootnoteReference"/>
        </w:rPr>
        <w:footnoteReference w:id="5"/>
      </w:r>
      <w:r>
        <w:t xml:space="preserve"> For most sectors the definition is applied at the ISIC 2-digit (division) level; for tourism, which spans many narrow activities, it is applied at the more detailed ISIC 4-digit level following the ILO definition. Agribusiness receives special treatment: wage employment is counted for primary agricultural activities, while all employment is counted for food, beverage, and tobacco processing.</w:t>
      </w:r>
      <w:r>
        <w:rPr>
          <w:rStyle w:val="FootnoteReference"/>
        </w:rPr>
        <w:footnoteReference w:id="6"/>
      </w:r>
    </w:p>
    <w:p w14:paraId="1FEDB55A" w14:textId="77777777" w:rsidR="000409C7" w:rsidRDefault="00155F50">
      <w:pPr>
        <w:pStyle w:val="Heading2"/>
      </w:pPr>
      <w:bookmarkStart w:id="13" w:name="_Toc232635694"/>
      <w:r>
        <w:t>4.2. Step 2 — Identify workers and their occupations in the survey data</w:t>
      </w:r>
      <w:bookmarkEnd w:id="13"/>
    </w:p>
    <w:p w14:paraId="7D5313B6" w14:textId="77777777" w:rsidR="000409C7" w:rsidRDefault="00155F50">
      <w:pPr>
        <w:spacing w:after="160" w:line="276" w:lineRule="auto"/>
      </w:pPr>
      <w:r>
        <w:t>Using these industry definitions, the team identifies, within each country’s labor force survey, all workers employed in the priority-sector industries and records the occupation (ISCO) of each. Because the surveys capture the entire labor market, this step picks up formal and informal jobs, employees and the self-employed, and paid and unpaid workers alike. The result is, for each country, a complete mapping of the occupations that appear within each priority sector and how many workers each one employs.</w:t>
      </w:r>
    </w:p>
    <w:p w14:paraId="77281B09" w14:textId="77777777" w:rsidR="000409C7" w:rsidRDefault="00155F50">
      <w:pPr>
        <w:pStyle w:val="Heading2"/>
      </w:pPr>
      <w:bookmarkStart w:id="14" w:name="_Toc232635695"/>
      <w:r>
        <w:t>4.3. Step 3 — Construct the sector–occupation indicators</w:t>
      </w:r>
      <w:bookmarkEnd w:id="14"/>
    </w:p>
    <w:p w14:paraId="58A21417" w14:textId="77777777" w:rsidR="000409C7" w:rsidRDefault="00155F50">
      <w:pPr>
        <w:spacing w:after="160" w:line="276" w:lineRule="auto"/>
      </w:pPr>
      <w:r>
        <w:t>For every sector–occupation pair, the team computes a consistent set of indicators that together describe the size, skill profile, and quality of jobs in that occupation:</w:t>
      </w:r>
    </w:p>
    <w:p w14:paraId="5CE99EE1" w14:textId="77777777" w:rsidR="000409C7" w:rsidRDefault="00155F50">
      <w:pPr>
        <w:pStyle w:val="ListParagraph"/>
        <w:numPr>
          <w:ilvl w:val="0"/>
          <w:numId w:val="2"/>
        </w:numPr>
        <w:spacing w:after="80" w:line="276" w:lineRule="auto"/>
      </w:pPr>
      <w:r>
        <w:t>Typical (median) level of education of workers in the occupation;</w:t>
      </w:r>
    </w:p>
    <w:p w14:paraId="0981067E" w14:textId="77777777" w:rsidR="000409C7" w:rsidRDefault="00155F50">
      <w:pPr>
        <w:pStyle w:val="ListParagraph"/>
        <w:numPr>
          <w:ilvl w:val="0"/>
          <w:numId w:val="2"/>
        </w:numPr>
        <w:spacing w:after="80" w:line="276" w:lineRule="auto"/>
      </w:pPr>
      <w:r>
        <w:t>The occupation’s share of total employment in the sector;</w:t>
      </w:r>
    </w:p>
    <w:p w14:paraId="35E2C0B4" w14:textId="77777777" w:rsidR="000409C7" w:rsidRDefault="00155F50">
      <w:pPr>
        <w:pStyle w:val="ListParagraph"/>
        <w:numPr>
          <w:ilvl w:val="0"/>
          <w:numId w:val="2"/>
        </w:numPr>
        <w:spacing w:after="80" w:line="276" w:lineRule="auto"/>
      </w:pPr>
      <w:r>
        <w:t>Mean and median annual wage (for employees) or earnings (for the self-employed);</w:t>
      </w:r>
    </w:p>
    <w:p w14:paraId="57078451" w14:textId="77777777" w:rsidR="000409C7" w:rsidRDefault="00155F50">
      <w:pPr>
        <w:pStyle w:val="ListParagraph"/>
        <w:numPr>
          <w:ilvl w:val="0"/>
          <w:numId w:val="2"/>
        </w:numPr>
        <w:spacing w:after="80" w:line="276" w:lineRule="auto"/>
      </w:pPr>
      <w:r>
        <w:t>Mean and median hourly wage or earnings;</w:t>
      </w:r>
    </w:p>
    <w:p w14:paraId="566C09D7" w14:textId="77777777" w:rsidR="000409C7" w:rsidRDefault="00155F50">
      <w:pPr>
        <w:pStyle w:val="ListParagraph"/>
        <w:numPr>
          <w:ilvl w:val="0"/>
          <w:numId w:val="2"/>
        </w:numPr>
        <w:spacing w:after="80" w:line="276" w:lineRule="auto"/>
      </w:pPr>
      <w:r>
        <w:t>Total employment (number of jobs) in the occupation;</w:t>
      </w:r>
    </w:p>
    <w:p w14:paraId="09C264F6" w14:textId="77777777" w:rsidR="000409C7" w:rsidRDefault="00155F50">
      <w:pPr>
        <w:pStyle w:val="ListParagraph"/>
        <w:numPr>
          <w:ilvl w:val="0"/>
          <w:numId w:val="2"/>
        </w:numPr>
        <w:spacing w:after="80" w:line="276" w:lineRule="auto"/>
      </w:pPr>
      <w:r>
        <w:t>Share of workers who are self-employed, unpaid, or informal.</w:t>
      </w:r>
    </w:p>
    <w:p w14:paraId="01A7DB68" w14:textId="77777777" w:rsidR="000409C7" w:rsidRDefault="00155F50">
      <w:pPr>
        <w:spacing w:after="160" w:line="276" w:lineRule="auto"/>
      </w:pPr>
      <w:r>
        <w:t>Wage and earnings statistics are computed only for workers with positive earnings and are expressed in 2021 purchasing power parity (PPP) terms so that values are comparable across countries.</w:t>
      </w:r>
      <w:r>
        <w:rPr>
          <w:rStyle w:val="FootnoteReference"/>
        </w:rPr>
        <w:footnoteReference w:id="7"/>
      </w:r>
      <w:r>
        <w:t xml:space="preserve"> Informality is measured using each country’s own definition and the variables available in its survey.</w:t>
      </w:r>
      <w:r>
        <w:rPr>
          <w:rStyle w:val="FootnoteReference"/>
        </w:rPr>
        <w:footnoteReference w:id="8"/>
      </w:r>
      <w:r>
        <w:t xml:space="preserve"> The complete list of fields and their precise definitions is provided in Annex B.</w:t>
      </w:r>
    </w:p>
    <w:p w14:paraId="1F98D470" w14:textId="77777777" w:rsidR="000409C7" w:rsidRDefault="00155F50">
      <w:pPr>
        <w:pStyle w:val="Heading2"/>
      </w:pPr>
      <w:bookmarkStart w:id="15" w:name="_Toc232635696"/>
      <w:r>
        <w:t>4.4. Step 4 — Enrich the catalog with global occupational and skills information</w:t>
      </w:r>
      <w:bookmarkEnd w:id="15"/>
    </w:p>
    <w:p w14:paraId="451A943F" w14:textId="77777777" w:rsidR="000409C7" w:rsidRDefault="00155F50">
      <w:pPr>
        <w:spacing w:after="160" w:line="276" w:lineRule="auto"/>
      </w:pPr>
      <w:r>
        <w:t>The first three steps describe which occupations matter and the profile of the workers in them, but not what those workers do or which skills they need. To fill this gap, each COSC is linked to the GOSC, which maps occupations to standardized tasks, skill importance and proficiency measures, entry-level education, on-the-job training requirements, and a composite “delivery method” summarizing how skills are typically acquired.</w:t>
      </w:r>
    </w:p>
    <w:p w14:paraId="27B605C6" w14:textId="77777777" w:rsidR="000409C7" w:rsidRDefault="00155F50">
      <w:pPr>
        <w:spacing w:after="160" w:line="276" w:lineRule="auto"/>
      </w:pPr>
      <w:r>
        <w:t xml:space="preserve">This enrichment moves the catalog from describing </w:t>
      </w:r>
      <w:r>
        <w:rPr>
          <w:i/>
          <w:iCs/>
        </w:rPr>
        <w:t>which</w:t>
      </w:r>
      <w:r>
        <w:t xml:space="preserve"> occupations matter to indicating </w:t>
      </w:r>
      <w:r>
        <w:rPr>
          <w:i/>
          <w:iCs/>
        </w:rPr>
        <w:t>what</w:t>
      </w:r>
      <w:r>
        <w:t xml:space="preserve"> workers in them typically do, </w:t>
      </w:r>
      <w:r>
        <w:rPr>
          <w:i/>
          <w:iCs/>
        </w:rPr>
        <w:t>what skills</w:t>
      </w:r>
      <w:r>
        <w:t xml:space="preserve"> they need, and </w:t>
      </w:r>
      <w:r>
        <w:rPr>
          <w:i/>
          <w:iCs/>
        </w:rPr>
        <w:t>how</w:t>
      </w:r>
      <w:r>
        <w:t xml:space="preserve"> those skills are commonly acquired — making the catalog directly useful for curriculum design, certification, and training-delivery decisions. Because the enrichment information is referential (drawn from U.S. data), it is treated as an indicative benchmark to be validated locally, not as a direct measurement of country conditions (see Sections 7 and Annex C).</w:t>
      </w:r>
    </w:p>
    <w:p w14:paraId="0D0846AA" w14:textId="77777777" w:rsidR="000409C7" w:rsidRDefault="00155F50">
      <w:pPr>
        <w:pStyle w:val="Heading1"/>
      </w:pPr>
      <w:bookmarkStart w:id="16" w:name="_Toc232635697"/>
      <w:r>
        <w:t>5. What the COSCs Contain</w:t>
      </w:r>
      <w:bookmarkEnd w:id="16"/>
    </w:p>
    <w:p w14:paraId="118B910C" w14:textId="77777777" w:rsidR="000409C7" w:rsidRDefault="00155F50">
      <w:pPr>
        <w:spacing w:after="160" w:line="276" w:lineRule="auto"/>
      </w:pPr>
      <w:r>
        <w:t>Each COSC is organized as a catalog in which every row is a sector–occupation pair and every column is one of the indicators below. The catalog has two layers: country-specific fields computed from national survey data, and referential fields linked from the GOSC.</w:t>
      </w:r>
    </w:p>
    <w:p w14:paraId="3248300F" w14:textId="77777777" w:rsidR="000409C7" w:rsidRDefault="00155F50">
      <w:pPr>
        <w:pStyle w:val="Heading2"/>
      </w:pPr>
      <w:bookmarkStart w:id="17" w:name="_Toc232635698"/>
      <w:r>
        <w:t>5.1. Country-specific fields (from national survey data)</w:t>
      </w:r>
      <w:bookmarkEnd w:id="17"/>
    </w:p>
    <w:p w14:paraId="166879DB" w14:textId="77777777" w:rsidR="000409C7" w:rsidRDefault="00155F50">
      <w:pPr>
        <w:spacing w:before="160" w:after="80"/>
      </w:pPr>
      <w:r>
        <w:rPr>
          <w:b/>
          <w:bCs/>
          <w:color w:val="1F3864"/>
          <w:sz w:val="20"/>
          <w:szCs w:val="20"/>
        </w:rPr>
        <w:t>Table 1. Country-specific fields in each COSC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360"/>
      </w:tblGrid>
      <w:tr w:rsidR="000409C7" w14:paraId="6A0F3046" w14:textId="77777777">
        <w:tblPrEx>
          <w:tblCellMar>
            <w:top w:w="0" w:type="dxa"/>
            <w:bottom w:w="0" w:type="dxa"/>
          </w:tblCellMar>
        </w:tblPrEx>
        <w:trPr>
          <w:tblHeader/>
        </w:trPr>
        <w:tc>
          <w:tcPr>
            <w:tcW w:w="3000" w:type="dxa"/>
            <w:shd w:val="clear" w:color="auto" w:fill="1F3864"/>
            <w:tcMar>
              <w:top w:w="60" w:type="dxa"/>
              <w:left w:w="120" w:type="dxa"/>
              <w:bottom w:w="60" w:type="dxa"/>
              <w:right w:w="120" w:type="dxa"/>
            </w:tcMar>
            <w:vAlign w:val="center"/>
          </w:tcPr>
          <w:p w14:paraId="41178832" w14:textId="77777777" w:rsidR="000409C7" w:rsidRDefault="00155F50">
            <w:r>
              <w:rPr>
                <w:b/>
                <w:bCs/>
                <w:color w:val="FFFFFF"/>
                <w:sz w:val="19"/>
                <w:szCs w:val="19"/>
              </w:rPr>
              <w:t>Field</w:t>
            </w:r>
          </w:p>
        </w:tc>
        <w:tc>
          <w:tcPr>
            <w:tcW w:w="6360" w:type="dxa"/>
            <w:shd w:val="clear" w:color="auto" w:fill="1F3864"/>
            <w:tcMar>
              <w:top w:w="60" w:type="dxa"/>
              <w:left w:w="120" w:type="dxa"/>
              <w:bottom w:w="60" w:type="dxa"/>
              <w:right w:w="120" w:type="dxa"/>
            </w:tcMar>
            <w:vAlign w:val="center"/>
          </w:tcPr>
          <w:p w14:paraId="3ED0C480" w14:textId="77777777" w:rsidR="000409C7" w:rsidRDefault="00155F50">
            <w:r>
              <w:rPr>
                <w:b/>
                <w:bCs/>
                <w:color w:val="FFFFFF"/>
                <w:sz w:val="19"/>
                <w:szCs w:val="19"/>
              </w:rPr>
              <w:t>What it shows</w:t>
            </w:r>
          </w:p>
        </w:tc>
      </w:tr>
      <w:tr w:rsidR="000409C7" w14:paraId="0C53F0A8"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63BBDC19" w14:textId="77777777" w:rsidR="000409C7" w:rsidRDefault="00155F50">
            <w:pPr>
              <w:spacing w:line="252" w:lineRule="auto"/>
            </w:pPr>
            <w:r>
              <w:rPr>
                <w:b/>
                <w:bCs/>
                <w:sz w:val="19"/>
                <w:szCs w:val="19"/>
              </w:rPr>
              <w:t>Occupation code and title (ISCO)</w:t>
            </w:r>
          </w:p>
        </w:tc>
        <w:tc>
          <w:tcPr>
            <w:tcW w:w="6360" w:type="dxa"/>
            <w:shd w:val="clear" w:color="auto" w:fill="FFFFFF"/>
            <w:tcMar>
              <w:top w:w="60" w:type="dxa"/>
              <w:left w:w="120" w:type="dxa"/>
              <w:bottom w:w="60" w:type="dxa"/>
              <w:right w:w="120" w:type="dxa"/>
            </w:tcMar>
            <w:vAlign w:val="center"/>
          </w:tcPr>
          <w:p w14:paraId="38F78FC9" w14:textId="77777777" w:rsidR="000409C7" w:rsidRDefault="00155F50">
            <w:pPr>
              <w:spacing w:line="252" w:lineRule="auto"/>
            </w:pPr>
            <w:r>
              <w:rPr>
                <w:sz w:val="19"/>
                <w:szCs w:val="19"/>
              </w:rPr>
              <w:t>The occupation’s ISCO identifier and title, at the most detailed level the survey allows.</w:t>
            </w:r>
          </w:p>
        </w:tc>
      </w:tr>
      <w:tr w:rsidR="000409C7" w14:paraId="2D7CC3E0" w14:textId="77777777">
        <w:tblPrEx>
          <w:tblCellMar>
            <w:top w:w="0" w:type="dxa"/>
            <w:bottom w:w="0" w:type="dxa"/>
          </w:tblCellMar>
        </w:tblPrEx>
        <w:tc>
          <w:tcPr>
            <w:tcW w:w="3000" w:type="dxa"/>
            <w:shd w:val="clear" w:color="auto" w:fill="EAF0FA"/>
            <w:tcMar>
              <w:top w:w="60" w:type="dxa"/>
              <w:left w:w="120" w:type="dxa"/>
              <w:bottom w:w="60" w:type="dxa"/>
              <w:right w:w="120" w:type="dxa"/>
            </w:tcMar>
            <w:vAlign w:val="center"/>
          </w:tcPr>
          <w:p w14:paraId="0B442052" w14:textId="77777777" w:rsidR="000409C7" w:rsidRDefault="00155F50">
            <w:pPr>
              <w:spacing w:line="252" w:lineRule="auto"/>
            </w:pPr>
            <w:r>
              <w:rPr>
                <w:b/>
                <w:bCs/>
                <w:sz w:val="19"/>
                <w:szCs w:val="19"/>
              </w:rPr>
              <w:t>Typical level of education</w:t>
            </w:r>
          </w:p>
        </w:tc>
        <w:tc>
          <w:tcPr>
            <w:tcW w:w="6360" w:type="dxa"/>
            <w:shd w:val="clear" w:color="auto" w:fill="EAF0FA"/>
            <w:tcMar>
              <w:top w:w="60" w:type="dxa"/>
              <w:left w:w="120" w:type="dxa"/>
              <w:bottom w:w="60" w:type="dxa"/>
              <w:right w:w="120" w:type="dxa"/>
            </w:tcMar>
            <w:vAlign w:val="center"/>
          </w:tcPr>
          <w:p w14:paraId="4F98A19C" w14:textId="77777777" w:rsidR="000409C7" w:rsidRDefault="00155F50">
            <w:pPr>
              <w:spacing w:line="252" w:lineRule="auto"/>
            </w:pPr>
            <w:r>
              <w:rPr>
                <w:sz w:val="19"/>
                <w:szCs w:val="19"/>
              </w:rPr>
              <w:t>The median level of completed education among employed workers in the occupation.</w:t>
            </w:r>
          </w:p>
        </w:tc>
      </w:tr>
      <w:tr w:rsidR="000409C7" w14:paraId="2E23DA9E"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267338ED" w14:textId="77777777" w:rsidR="000409C7" w:rsidRDefault="00155F50">
            <w:pPr>
              <w:spacing w:line="252" w:lineRule="auto"/>
            </w:pPr>
            <w:r>
              <w:rPr>
                <w:b/>
                <w:bCs/>
                <w:sz w:val="19"/>
                <w:szCs w:val="19"/>
              </w:rPr>
              <w:t>Share of employment in the sector</w:t>
            </w:r>
          </w:p>
        </w:tc>
        <w:tc>
          <w:tcPr>
            <w:tcW w:w="6360" w:type="dxa"/>
            <w:shd w:val="clear" w:color="auto" w:fill="FFFFFF"/>
            <w:tcMar>
              <w:top w:w="60" w:type="dxa"/>
              <w:left w:w="120" w:type="dxa"/>
              <w:bottom w:w="60" w:type="dxa"/>
              <w:right w:w="120" w:type="dxa"/>
            </w:tcMar>
            <w:vAlign w:val="center"/>
          </w:tcPr>
          <w:p w14:paraId="2D5B99B1" w14:textId="77777777" w:rsidR="000409C7" w:rsidRDefault="00155F50">
            <w:pPr>
              <w:spacing w:line="252" w:lineRule="auto"/>
            </w:pPr>
            <w:r>
              <w:rPr>
                <w:sz w:val="19"/>
                <w:szCs w:val="19"/>
              </w:rPr>
              <w:t>The occupation’s share of total employment within the priority sector.</w:t>
            </w:r>
          </w:p>
        </w:tc>
      </w:tr>
      <w:tr w:rsidR="000409C7" w14:paraId="018A3D87" w14:textId="77777777">
        <w:tblPrEx>
          <w:tblCellMar>
            <w:top w:w="0" w:type="dxa"/>
            <w:bottom w:w="0" w:type="dxa"/>
          </w:tblCellMar>
        </w:tblPrEx>
        <w:tc>
          <w:tcPr>
            <w:tcW w:w="3000" w:type="dxa"/>
            <w:shd w:val="clear" w:color="auto" w:fill="EAF0FA"/>
            <w:tcMar>
              <w:top w:w="60" w:type="dxa"/>
              <w:left w:w="120" w:type="dxa"/>
              <w:bottom w:w="60" w:type="dxa"/>
              <w:right w:w="120" w:type="dxa"/>
            </w:tcMar>
            <w:vAlign w:val="center"/>
          </w:tcPr>
          <w:p w14:paraId="3086A588" w14:textId="77777777" w:rsidR="000409C7" w:rsidRDefault="00155F50">
            <w:pPr>
              <w:spacing w:line="252" w:lineRule="auto"/>
            </w:pPr>
            <w:r>
              <w:rPr>
                <w:b/>
                <w:bCs/>
                <w:sz w:val="19"/>
                <w:szCs w:val="19"/>
              </w:rPr>
              <w:t>Median pay rank</w:t>
            </w:r>
          </w:p>
        </w:tc>
        <w:tc>
          <w:tcPr>
            <w:tcW w:w="6360" w:type="dxa"/>
            <w:shd w:val="clear" w:color="auto" w:fill="EAF0FA"/>
            <w:tcMar>
              <w:top w:w="60" w:type="dxa"/>
              <w:left w:w="120" w:type="dxa"/>
              <w:bottom w:w="60" w:type="dxa"/>
              <w:right w:w="120" w:type="dxa"/>
            </w:tcMar>
            <w:vAlign w:val="center"/>
          </w:tcPr>
          <w:p w14:paraId="38892CD8" w14:textId="77777777" w:rsidR="000409C7" w:rsidRDefault="00155F50">
            <w:pPr>
              <w:spacing w:line="252" w:lineRule="auto"/>
            </w:pPr>
            <w:r>
              <w:rPr>
                <w:sz w:val="19"/>
                <w:szCs w:val="19"/>
              </w:rPr>
              <w:t>A relative-pay category (very low, low, medium, high, very high) based on the occupation’s position in the country’s wage distribution (quintiles).</w:t>
            </w:r>
          </w:p>
        </w:tc>
      </w:tr>
      <w:tr w:rsidR="000409C7" w14:paraId="3D858D96"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2F671C77" w14:textId="77777777" w:rsidR="000409C7" w:rsidRDefault="00155F50">
            <w:pPr>
              <w:spacing w:line="252" w:lineRule="auto"/>
            </w:pPr>
            <w:r>
              <w:rPr>
                <w:b/>
                <w:bCs/>
                <w:sz w:val="19"/>
                <w:szCs w:val="19"/>
              </w:rPr>
              <w:t>Annual wages</w:t>
            </w:r>
          </w:p>
        </w:tc>
        <w:tc>
          <w:tcPr>
            <w:tcW w:w="6360" w:type="dxa"/>
            <w:shd w:val="clear" w:color="auto" w:fill="FFFFFF"/>
            <w:tcMar>
              <w:top w:w="60" w:type="dxa"/>
              <w:left w:w="120" w:type="dxa"/>
              <w:bottom w:w="60" w:type="dxa"/>
              <w:right w:w="120" w:type="dxa"/>
            </w:tcMar>
            <w:vAlign w:val="center"/>
          </w:tcPr>
          <w:p w14:paraId="21BBD275" w14:textId="77777777" w:rsidR="000409C7" w:rsidRDefault="00155F50">
            <w:pPr>
              <w:spacing w:line="252" w:lineRule="auto"/>
            </w:pPr>
            <w:r>
              <w:rPr>
                <w:sz w:val="19"/>
                <w:szCs w:val="19"/>
              </w:rPr>
              <w:t>Mean and median annual wages for workers with positive earnings, with the number of underlying observations (2021 PPP).</w:t>
            </w:r>
          </w:p>
        </w:tc>
      </w:tr>
      <w:tr w:rsidR="000409C7" w14:paraId="1B164E27" w14:textId="77777777">
        <w:tblPrEx>
          <w:tblCellMar>
            <w:top w:w="0" w:type="dxa"/>
            <w:bottom w:w="0" w:type="dxa"/>
          </w:tblCellMar>
        </w:tblPrEx>
        <w:tc>
          <w:tcPr>
            <w:tcW w:w="3000" w:type="dxa"/>
            <w:shd w:val="clear" w:color="auto" w:fill="EAF0FA"/>
            <w:tcMar>
              <w:top w:w="60" w:type="dxa"/>
              <w:left w:w="120" w:type="dxa"/>
              <w:bottom w:w="60" w:type="dxa"/>
              <w:right w:w="120" w:type="dxa"/>
            </w:tcMar>
            <w:vAlign w:val="center"/>
          </w:tcPr>
          <w:p w14:paraId="479582BB" w14:textId="77777777" w:rsidR="000409C7" w:rsidRDefault="00155F50">
            <w:pPr>
              <w:spacing w:line="252" w:lineRule="auto"/>
            </w:pPr>
            <w:r>
              <w:rPr>
                <w:b/>
                <w:bCs/>
                <w:sz w:val="19"/>
                <w:szCs w:val="19"/>
              </w:rPr>
              <w:t>Hourly wages</w:t>
            </w:r>
          </w:p>
        </w:tc>
        <w:tc>
          <w:tcPr>
            <w:tcW w:w="6360" w:type="dxa"/>
            <w:shd w:val="clear" w:color="auto" w:fill="EAF0FA"/>
            <w:tcMar>
              <w:top w:w="60" w:type="dxa"/>
              <w:left w:w="120" w:type="dxa"/>
              <w:bottom w:w="60" w:type="dxa"/>
              <w:right w:w="120" w:type="dxa"/>
            </w:tcMar>
            <w:vAlign w:val="center"/>
          </w:tcPr>
          <w:p w14:paraId="4DC509D0" w14:textId="77777777" w:rsidR="000409C7" w:rsidRDefault="00155F50">
            <w:pPr>
              <w:spacing w:line="252" w:lineRule="auto"/>
            </w:pPr>
            <w:r>
              <w:rPr>
                <w:sz w:val="19"/>
                <w:szCs w:val="19"/>
              </w:rPr>
              <w:t>Mean and median hourly wages for workers with positive earnings, with the number of underlying observations (2021 PPP).</w:t>
            </w:r>
          </w:p>
        </w:tc>
      </w:tr>
      <w:tr w:rsidR="000409C7" w14:paraId="1389D1C1"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41C0DCA0" w14:textId="77777777" w:rsidR="000409C7" w:rsidRDefault="00155F50">
            <w:pPr>
              <w:spacing w:line="252" w:lineRule="auto"/>
            </w:pPr>
            <w:r>
              <w:rPr>
                <w:b/>
                <w:bCs/>
                <w:sz w:val="19"/>
                <w:szCs w:val="19"/>
              </w:rPr>
              <w:t>Total employment</w:t>
            </w:r>
          </w:p>
        </w:tc>
        <w:tc>
          <w:tcPr>
            <w:tcW w:w="6360" w:type="dxa"/>
            <w:shd w:val="clear" w:color="auto" w:fill="FFFFFF"/>
            <w:tcMar>
              <w:top w:w="60" w:type="dxa"/>
              <w:left w:w="120" w:type="dxa"/>
              <w:bottom w:w="60" w:type="dxa"/>
              <w:right w:w="120" w:type="dxa"/>
            </w:tcMar>
            <w:vAlign w:val="center"/>
          </w:tcPr>
          <w:p w14:paraId="1EDCB148" w14:textId="77777777" w:rsidR="000409C7" w:rsidRDefault="00155F50">
            <w:pPr>
              <w:spacing w:line="252" w:lineRule="auto"/>
            </w:pPr>
            <w:r>
              <w:rPr>
                <w:sz w:val="19"/>
                <w:szCs w:val="19"/>
              </w:rPr>
              <w:t>The total number of workers employed in the occupation.</w:t>
            </w:r>
          </w:p>
        </w:tc>
      </w:tr>
      <w:tr w:rsidR="000409C7" w14:paraId="33048407" w14:textId="77777777">
        <w:tblPrEx>
          <w:tblCellMar>
            <w:top w:w="0" w:type="dxa"/>
            <w:bottom w:w="0" w:type="dxa"/>
          </w:tblCellMar>
        </w:tblPrEx>
        <w:tc>
          <w:tcPr>
            <w:tcW w:w="3000" w:type="dxa"/>
            <w:shd w:val="clear" w:color="auto" w:fill="EAF0FA"/>
            <w:tcMar>
              <w:top w:w="60" w:type="dxa"/>
              <w:left w:w="120" w:type="dxa"/>
              <w:bottom w:w="60" w:type="dxa"/>
              <w:right w:w="120" w:type="dxa"/>
            </w:tcMar>
            <w:vAlign w:val="center"/>
          </w:tcPr>
          <w:p w14:paraId="29408E3D" w14:textId="77777777" w:rsidR="000409C7" w:rsidRDefault="00155F50">
            <w:pPr>
              <w:spacing w:line="252" w:lineRule="auto"/>
            </w:pPr>
            <w:r>
              <w:rPr>
                <w:b/>
                <w:bCs/>
                <w:sz w:val="19"/>
                <w:szCs w:val="19"/>
              </w:rPr>
              <w:t>Share of self-employed workers</w:t>
            </w:r>
          </w:p>
        </w:tc>
        <w:tc>
          <w:tcPr>
            <w:tcW w:w="6360" w:type="dxa"/>
            <w:shd w:val="clear" w:color="auto" w:fill="EAF0FA"/>
            <w:tcMar>
              <w:top w:w="60" w:type="dxa"/>
              <w:left w:w="120" w:type="dxa"/>
              <w:bottom w:w="60" w:type="dxa"/>
              <w:right w:w="120" w:type="dxa"/>
            </w:tcMar>
            <w:vAlign w:val="center"/>
          </w:tcPr>
          <w:p w14:paraId="2C9D8BAF" w14:textId="77777777" w:rsidR="000409C7" w:rsidRDefault="00155F50">
            <w:pPr>
              <w:spacing w:line="252" w:lineRule="auto"/>
            </w:pPr>
            <w:r>
              <w:rPr>
                <w:sz w:val="19"/>
                <w:szCs w:val="19"/>
              </w:rPr>
              <w:t>The proportion of workers in the occupation who are self-employed.</w:t>
            </w:r>
          </w:p>
        </w:tc>
      </w:tr>
      <w:tr w:rsidR="000409C7" w14:paraId="13C8C0BE"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4F49D702" w14:textId="77777777" w:rsidR="000409C7" w:rsidRDefault="00155F50">
            <w:pPr>
              <w:spacing w:line="252" w:lineRule="auto"/>
            </w:pPr>
            <w:r>
              <w:rPr>
                <w:b/>
                <w:bCs/>
                <w:sz w:val="19"/>
                <w:szCs w:val="19"/>
              </w:rPr>
              <w:t>Share of unpaid workers</w:t>
            </w:r>
          </w:p>
        </w:tc>
        <w:tc>
          <w:tcPr>
            <w:tcW w:w="6360" w:type="dxa"/>
            <w:shd w:val="clear" w:color="auto" w:fill="FFFFFF"/>
            <w:tcMar>
              <w:top w:w="60" w:type="dxa"/>
              <w:left w:w="120" w:type="dxa"/>
              <w:bottom w:w="60" w:type="dxa"/>
              <w:right w:w="120" w:type="dxa"/>
            </w:tcMar>
            <w:vAlign w:val="center"/>
          </w:tcPr>
          <w:p w14:paraId="5ECA5917" w14:textId="77777777" w:rsidR="000409C7" w:rsidRDefault="00155F50">
            <w:pPr>
              <w:spacing w:line="252" w:lineRule="auto"/>
            </w:pPr>
            <w:r>
              <w:rPr>
                <w:sz w:val="19"/>
                <w:szCs w:val="19"/>
              </w:rPr>
              <w:t>The proportion of workers in unpaid employment, where identifiable in the survey.</w:t>
            </w:r>
          </w:p>
        </w:tc>
      </w:tr>
      <w:tr w:rsidR="000409C7" w14:paraId="17BD56F2" w14:textId="77777777">
        <w:tblPrEx>
          <w:tblCellMar>
            <w:top w:w="0" w:type="dxa"/>
            <w:bottom w:w="0" w:type="dxa"/>
          </w:tblCellMar>
        </w:tblPrEx>
        <w:tc>
          <w:tcPr>
            <w:tcW w:w="3000" w:type="dxa"/>
            <w:shd w:val="clear" w:color="auto" w:fill="EAF0FA"/>
            <w:tcMar>
              <w:top w:w="60" w:type="dxa"/>
              <w:left w:w="120" w:type="dxa"/>
              <w:bottom w:w="60" w:type="dxa"/>
              <w:right w:w="120" w:type="dxa"/>
            </w:tcMar>
            <w:vAlign w:val="center"/>
          </w:tcPr>
          <w:p w14:paraId="1796F664" w14:textId="77777777" w:rsidR="000409C7" w:rsidRDefault="00155F50">
            <w:pPr>
              <w:spacing w:line="252" w:lineRule="auto"/>
            </w:pPr>
            <w:r>
              <w:rPr>
                <w:b/>
                <w:bCs/>
                <w:sz w:val="19"/>
                <w:szCs w:val="19"/>
              </w:rPr>
              <w:t>Informality rate</w:t>
            </w:r>
          </w:p>
        </w:tc>
        <w:tc>
          <w:tcPr>
            <w:tcW w:w="6360" w:type="dxa"/>
            <w:shd w:val="clear" w:color="auto" w:fill="EAF0FA"/>
            <w:tcMar>
              <w:top w:w="60" w:type="dxa"/>
              <w:left w:w="120" w:type="dxa"/>
              <w:bottom w:w="60" w:type="dxa"/>
              <w:right w:w="120" w:type="dxa"/>
            </w:tcMar>
            <w:vAlign w:val="center"/>
          </w:tcPr>
          <w:p w14:paraId="15772B1B" w14:textId="77777777" w:rsidR="000409C7" w:rsidRDefault="00155F50">
            <w:pPr>
              <w:spacing w:line="252" w:lineRule="auto"/>
            </w:pPr>
            <w:r>
              <w:rPr>
                <w:sz w:val="19"/>
                <w:szCs w:val="19"/>
              </w:rPr>
              <w:t>The share of workers in informal employment, using the country’s own definition.</w:t>
            </w:r>
          </w:p>
        </w:tc>
      </w:tr>
      <w:tr w:rsidR="000409C7" w14:paraId="1D7D6728"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55BD34DD" w14:textId="77777777" w:rsidR="000409C7" w:rsidRDefault="00155F50">
            <w:pPr>
              <w:spacing w:line="252" w:lineRule="auto"/>
            </w:pPr>
            <w:r>
              <w:rPr>
                <w:b/>
                <w:bCs/>
                <w:sz w:val="19"/>
                <w:szCs w:val="19"/>
              </w:rPr>
              <w:t>Skill category</w:t>
            </w:r>
          </w:p>
        </w:tc>
        <w:tc>
          <w:tcPr>
            <w:tcW w:w="6360" w:type="dxa"/>
            <w:shd w:val="clear" w:color="auto" w:fill="FFFFFF"/>
            <w:tcMar>
              <w:top w:w="60" w:type="dxa"/>
              <w:left w:w="120" w:type="dxa"/>
              <w:bottom w:w="60" w:type="dxa"/>
              <w:right w:w="120" w:type="dxa"/>
            </w:tcMar>
            <w:vAlign w:val="center"/>
          </w:tcPr>
          <w:p w14:paraId="56A1EFE7" w14:textId="77777777" w:rsidR="000409C7" w:rsidRDefault="00155F50">
            <w:pPr>
              <w:spacing w:line="252" w:lineRule="auto"/>
            </w:pPr>
            <w:r>
              <w:rPr>
                <w:sz w:val="19"/>
                <w:szCs w:val="19"/>
              </w:rPr>
              <w:t>A broad skill grouping derived from ISCO major groups: high-skill (ISCO 1–3), medium-skill (ISCO 4–8), and low-skill (ISCO 9).</w:t>
            </w:r>
          </w:p>
        </w:tc>
      </w:tr>
    </w:tbl>
    <w:p w14:paraId="6EEB3522" w14:textId="77777777" w:rsidR="000409C7" w:rsidRDefault="00155F50">
      <w:pPr>
        <w:pStyle w:val="Heading2"/>
      </w:pPr>
      <w:bookmarkStart w:id="18" w:name="_Toc232635699"/>
      <w:r>
        <w:t>5.2. Referential fields (linked from the GOSC)</w:t>
      </w:r>
      <w:bookmarkEnd w:id="18"/>
    </w:p>
    <w:p w14:paraId="50623DC1" w14:textId="77777777" w:rsidR="000409C7" w:rsidRDefault="00155F50">
      <w:pPr>
        <w:spacing w:after="160" w:line="276" w:lineRule="auto"/>
      </w:pPr>
      <w:r>
        <w:t>Where a country occupation can be matched to the global reference framework, the catalog can additionally display the following referential information. These fields describe occupations in general terms and are intended as an indicative benchmark.</w:t>
      </w:r>
    </w:p>
    <w:p w14:paraId="63E7FE3C" w14:textId="77777777" w:rsidR="000409C7" w:rsidRDefault="00155F50">
      <w:pPr>
        <w:spacing w:before="160" w:after="80"/>
      </w:pPr>
      <w:r>
        <w:rPr>
          <w:b/>
          <w:bCs/>
          <w:color w:val="1F3864"/>
          <w:sz w:val="20"/>
          <w:szCs w:val="20"/>
        </w:rPr>
        <w:t>Table 2. Referential enrichment fields linked from the GOSC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6360"/>
      </w:tblGrid>
      <w:tr w:rsidR="000409C7" w14:paraId="004F6FBC" w14:textId="77777777">
        <w:tblPrEx>
          <w:tblCellMar>
            <w:top w:w="0" w:type="dxa"/>
            <w:bottom w:w="0" w:type="dxa"/>
          </w:tblCellMar>
        </w:tblPrEx>
        <w:trPr>
          <w:tblHeader/>
        </w:trPr>
        <w:tc>
          <w:tcPr>
            <w:tcW w:w="3000" w:type="dxa"/>
            <w:shd w:val="clear" w:color="auto" w:fill="1F3864"/>
            <w:tcMar>
              <w:top w:w="60" w:type="dxa"/>
              <w:left w:w="120" w:type="dxa"/>
              <w:bottom w:w="60" w:type="dxa"/>
              <w:right w:w="120" w:type="dxa"/>
            </w:tcMar>
            <w:vAlign w:val="center"/>
          </w:tcPr>
          <w:p w14:paraId="56113DEE" w14:textId="77777777" w:rsidR="000409C7" w:rsidRDefault="00155F50">
            <w:r>
              <w:rPr>
                <w:b/>
                <w:bCs/>
                <w:color w:val="FFFFFF"/>
                <w:sz w:val="19"/>
                <w:szCs w:val="19"/>
              </w:rPr>
              <w:t>Field</w:t>
            </w:r>
          </w:p>
        </w:tc>
        <w:tc>
          <w:tcPr>
            <w:tcW w:w="6360" w:type="dxa"/>
            <w:shd w:val="clear" w:color="auto" w:fill="1F3864"/>
            <w:tcMar>
              <w:top w:w="60" w:type="dxa"/>
              <w:left w:w="120" w:type="dxa"/>
              <w:bottom w:w="60" w:type="dxa"/>
              <w:right w:w="120" w:type="dxa"/>
            </w:tcMar>
            <w:vAlign w:val="center"/>
          </w:tcPr>
          <w:p w14:paraId="6E81B025" w14:textId="77777777" w:rsidR="000409C7" w:rsidRDefault="00155F50">
            <w:r>
              <w:rPr>
                <w:b/>
                <w:bCs/>
                <w:color w:val="FFFFFF"/>
                <w:sz w:val="19"/>
                <w:szCs w:val="19"/>
              </w:rPr>
              <w:t>What it shows</w:t>
            </w:r>
          </w:p>
        </w:tc>
      </w:tr>
      <w:tr w:rsidR="000409C7" w14:paraId="08ECCBF6"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027E2F2E" w14:textId="77777777" w:rsidR="000409C7" w:rsidRDefault="00155F50">
            <w:pPr>
              <w:spacing w:line="252" w:lineRule="auto"/>
            </w:pPr>
            <w:r>
              <w:rPr>
                <w:b/>
                <w:bCs/>
                <w:sz w:val="19"/>
                <w:szCs w:val="19"/>
              </w:rPr>
              <w:t>Task descriptions</w:t>
            </w:r>
          </w:p>
        </w:tc>
        <w:tc>
          <w:tcPr>
            <w:tcW w:w="6360" w:type="dxa"/>
            <w:shd w:val="clear" w:color="auto" w:fill="FFFFFF"/>
            <w:tcMar>
              <w:top w:w="60" w:type="dxa"/>
              <w:left w:w="120" w:type="dxa"/>
              <w:bottom w:w="60" w:type="dxa"/>
              <w:right w:w="120" w:type="dxa"/>
            </w:tcMar>
            <w:vAlign w:val="center"/>
          </w:tcPr>
          <w:p w14:paraId="3DE4ADD0" w14:textId="77777777" w:rsidR="000409C7" w:rsidRDefault="00155F50">
            <w:pPr>
              <w:spacing w:line="252" w:lineRule="auto"/>
            </w:pPr>
            <w:r>
              <w:rPr>
                <w:sz w:val="19"/>
                <w:szCs w:val="19"/>
              </w:rPr>
              <w:t>Standardized statements of the core work activities of the occupation (up to 65 task statements per occupation).</w:t>
            </w:r>
          </w:p>
        </w:tc>
      </w:tr>
      <w:tr w:rsidR="000409C7" w14:paraId="4FE90B90" w14:textId="77777777">
        <w:tblPrEx>
          <w:tblCellMar>
            <w:top w:w="0" w:type="dxa"/>
            <w:bottom w:w="0" w:type="dxa"/>
          </w:tblCellMar>
        </w:tblPrEx>
        <w:tc>
          <w:tcPr>
            <w:tcW w:w="3000" w:type="dxa"/>
            <w:shd w:val="clear" w:color="auto" w:fill="EAF0FA"/>
            <w:tcMar>
              <w:top w:w="60" w:type="dxa"/>
              <w:left w:w="120" w:type="dxa"/>
              <w:bottom w:w="60" w:type="dxa"/>
              <w:right w:w="120" w:type="dxa"/>
            </w:tcMar>
            <w:vAlign w:val="center"/>
          </w:tcPr>
          <w:p w14:paraId="7F5953E3" w14:textId="77777777" w:rsidR="000409C7" w:rsidRDefault="00155F50">
            <w:pPr>
              <w:spacing w:line="252" w:lineRule="auto"/>
            </w:pPr>
            <w:r>
              <w:rPr>
                <w:b/>
                <w:bCs/>
                <w:sz w:val="19"/>
                <w:szCs w:val="19"/>
              </w:rPr>
              <w:t>Skill importance</w:t>
            </w:r>
          </w:p>
        </w:tc>
        <w:tc>
          <w:tcPr>
            <w:tcW w:w="6360" w:type="dxa"/>
            <w:shd w:val="clear" w:color="auto" w:fill="EAF0FA"/>
            <w:tcMar>
              <w:top w:w="60" w:type="dxa"/>
              <w:left w:w="120" w:type="dxa"/>
              <w:bottom w:w="60" w:type="dxa"/>
              <w:right w:w="120" w:type="dxa"/>
            </w:tcMar>
            <w:vAlign w:val="center"/>
          </w:tcPr>
          <w:p w14:paraId="20F41C29" w14:textId="77777777" w:rsidR="000409C7" w:rsidRDefault="00155F50">
            <w:pPr>
              <w:spacing w:line="252" w:lineRule="auto"/>
            </w:pPr>
            <w:r>
              <w:rPr>
                <w:sz w:val="19"/>
                <w:szCs w:val="19"/>
              </w:rPr>
              <w:t>How critical each skill is to performing the occupation, on a 1 (not important) to 5 (extremely important) scale.</w:t>
            </w:r>
          </w:p>
        </w:tc>
      </w:tr>
      <w:tr w:rsidR="000409C7" w14:paraId="3C0F9CEC"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3A6D75C5" w14:textId="77777777" w:rsidR="000409C7" w:rsidRDefault="00155F50">
            <w:pPr>
              <w:spacing w:line="252" w:lineRule="auto"/>
            </w:pPr>
            <w:r>
              <w:rPr>
                <w:b/>
                <w:bCs/>
                <w:sz w:val="19"/>
                <w:szCs w:val="19"/>
              </w:rPr>
              <w:t>Skill proficiency (level)</w:t>
            </w:r>
          </w:p>
        </w:tc>
        <w:tc>
          <w:tcPr>
            <w:tcW w:w="6360" w:type="dxa"/>
            <w:shd w:val="clear" w:color="auto" w:fill="FFFFFF"/>
            <w:tcMar>
              <w:top w:w="60" w:type="dxa"/>
              <w:left w:w="120" w:type="dxa"/>
              <w:bottom w:w="60" w:type="dxa"/>
              <w:right w:w="120" w:type="dxa"/>
            </w:tcMar>
            <w:vAlign w:val="center"/>
          </w:tcPr>
          <w:p w14:paraId="144BD3F8" w14:textId="77777777" w:rsidR="000409C7" w:rsidRDefault="00155F50">
            <w:pPr>
              <w:spacing w:line="252" w:lineRule="auto"/>
            </w:pPr>
            <w:r>
              <w:rPr>
                <w:sz w:val="19"/>
                <w:szCs w:val="19"/>
              </w:rPr>
              <w:t>The degree of mastery a skill requires, on a 0 to 7 scale, with higher values indicating greater required proficiency.</w:t>
            </w:r>
          </w:p>
        </w:tc>
      </w:tr>
      <w:tr w:rsidR="000409C7" w14:paraId="6E44B459" w14:textId="77777777">
        <w:tblPrEx>
          <w:tblCellMar>
            <w:top w:w="0" w:type="dxa"/>
            <w:bottom w:w="0" w:type="dxa"/>
          </w:tblCellMar>
        </w:tblPrEx>
        <w:tc>
          <w:tcPr>
            <w:tcW w:w="3000" w:type="dxa"/>
            <w:shd w:val="clear" w:color="auto" w:fill="EAF0FA"/>
            <w:tcMar>
              <w:top w:w="60" w:type="dxa"/>
              <w:left w:w="120" w:type="dxa"/>
              <w:bottom w:w="60" w:type="dxa"/>
              <w:right w:w="120" w:type="dxa"/>
            </w:tcMar>
            <w:vAlign w:val="center"/>
          </w:tcPr>
          <w:p w14:paraId="3E03DCAE" w14:textId="77777777" w:rsidR="000409C7" w:rsidRDefault="00155F50">
            <w:pPr>
              <w:spacing w:line="252" w:lineRule="auto"/>
            </w:pPr>
            <w:r>
              <w:rPr>
                <w:b/>
                <w:bCs/>
                <w:sz w:val="19"/>
                <w:szCs w:val="19"/>
              </w:rPr>
              <w:t>Entry-level education</w:t>
            </w:r>
          </w:p>
        </w:tc>
        <w:tc>
          <w:tcPr>
            <w:tcW w:w="6360" w:type="dxa"/>
            <w:shd w:val="clear" w:color="auto" w:fill="EAF0FA"/>
            <w:tcMar>
              <w:top w:w="60" w:type="dxa"/>
              <w:left w:w="120" w:type="dxa"/>
              <w:bottom w:w="60" w:type="dxa"/>
              <w:right w:w="120" w:type="dxa"/>
            </w:tcMar>
            <w:vAlign w:val="center"/>
          </w:tcPr>
          <w:p w14:paraId="3535DBF9" w14:textId="77777777" w:rsidR="000409C7" w:rsidRDefault="00155F50">
            <w:pPr>
              <w:spacing w:line="252" w:lineRule="auto"/>
            </w:pPr>
            <w:r>
              <w:rPr>
                <w:sz w:val="19"/>
                <w:szCs w:val="19"/>
              </w:rPr>
              <w:t>The typical level of formal education needed to enter the occupation (eight categories; see Annex C).</w:t>
            </w:r>
          </w:p>
        </w:tc>
      </w:tr>
      <w:tr w:rsidR="000409C7" w14:paraId="1E3F8CB4" w14:textId="77777777">
        <w:tblPrEx>
          <w:tblCellMar>
            <w:top w:w="0" w:type="dxa"/>
            <w:bottom w:w="0" w:type="dxa"/>
          </w:tblCellMar>
        </w:tblPrEx>
        <w:tc>
          <w:tcPr>
            <w:tcW w:w="3000" w:type="dxa"/>
            <w:shd w:val="clear" w:color="auto" w:fill="FFFFFF"/>
            <w:tcMar>
              <w:top w:w="60" w:type="dxa"/>
              <w:left w:w="120" w:type="dxa"/>
              <w:bottom w:w="60" w:type="dxa"/>
              <w:right w:w="120" w:type="dxa"/>
            </w:tcMar>
            <w:vAlign w:val="center"/>
          </w:tcPr>
          <w:p w14:paraId="5CC7B2D1" w14:textId="77777777" w:rsidR="000409C7" w:rsidRDefault="00155F50">
            <w:pPr>
              <w:spacing w:line="252" w:lineRule="auto"/>
            </w:pPr>
            <w:r>
              <w:rPr>
                <w:b/>
                <w:bCs/>
                <w:sz w:val="19"/>
                <w:szCs w:val="19"/>
              </w:rPr>
              <w:t>On-the-job (OTJ) training</w:t>
            </w:r>
          </w:p>
        </w:tc>
        <w:tc>
          <w:tcPr>
            <w:tcW w:w="6360" w:type="dxa"/>
            <w:shd w:val="clear" w:color="auto" w:fill="FFFFFF"/>
            <w:tcMar>
              <w:top w:w="60" w:type="dxa"/>
              <w:left w:w="120" w:type="dxa"/>
              <w:bottom w:w="60" w:type="dxa"/>
              <w:right w:w="120" w:type="dxa"/>
            </w:tcMar>
            <w:vAlign w:val="center"/>
          </w:tcPr>
          <w:p w14:paraId="7423D8C2" w14:textId="77777777" w:rsidR="000409C7" w:rsidRDefault="00155F50">
            <w:pPr>
              <w:spacing w:line="252" w:lineRule="auto"/>
            </w:pPr>
            <w:r>
              <w:rPr>
                <w:sz w:val="19"/>
                <w:szCs w:val="19"/>
              </w:rPr>
              <w:t>The training typically needed after entry to reach competency (six categories; see Annex C).</w:t>
            </w:r>
          </w:p>
        </w:tc>
      </w:tr>
      <w:tr w:rsidR="000409C7" w14:paraId="3CC62A41" w14:textId="77777777">
        <w:tblPrEx>
          <w:tblCellMar>
            <w:top w:w="0" w:type="dxa"/>
            <w:bottom w:w="0" w:type="dxa"/>
          </w:tblCellMar>
        </w:tblPrEx>
        <w:tc>
          <w:tcPr>
            <w:tcW w:w="3000" w:type="dxa"/>
            <w:shd w:val="clear" w:color="auto" w:fill="EAF0FA"/>
            <w:tcMar>
              <w:top w:w="60" w:type="dxa"/>
              <w:left w:w="120" w:type="dxa"/>
              <w:bottom w:w="60" w:type="dxa"/>
              <w:right w:w="120" w:type="dxa"/>
            </w:tcMar>
            <w:vAlign w:val="center"/>
          </w:tcPr>
          <w:p w14:paraId="0705A38B" w14:textId="77777777" w:rsidR="000409C7" w:rsidRDefault="00155F50">
            <w:pPr>
              <w:spacing w:line="252" w:lineRule="auto"/>
            </w:pPr>
            <w:r>
              <w:rPr>
                <w:b/>
                <w:bCs/>
                <w:sz w:val="19"/>
                <w:szCs w:val="19"/>
              </w:rPr>
              <w:t>Delivery method</w:t>
            </w:r>
          </w:p>
        </w:tc>
        <w:tc>
          <w:tcPr>
            <w:tcW w:w="6360" w:type="dxa"/>
            <w:shd w:val="clear" w:color="auto" w:fill="EAF0FA"/>
            <w:tcMar>
              <w:top w:w="60" w:type="dxa"/>
              <w:left w:w="120" w:type="dxa"/>
              <w:bottom w:w="60" w:type="dxa"/>
              <w:right w:w="120" w:type="dxa"/>
            </w:tcMar>
            <w:vAlign w:val="center"/>
          </w:tcPr>
          <w:p w14:paraId="7E5FD047" w14:textId="77777777" w:rsidR="000409C7" w:rsidRDefault="00155F50">
            <w:pPr>
              <w:spacing w:line="252" w:lineRule="auto"/>
            </w:pPr>
            <w:r>
              <w:rPr>
                <w:sz w:val="19"/>
                <w:szCs w:val="19"/>
              </w:rPr>
              <w:t>A composite indicator combining entry education and OTJ training into six categories that summarize how skills are typically acquired (see Annex C).</w:t>
            </w:r>
          </w:p>
        </w:tc>
      </w:tr>
    </w:tbl>
    <w:p w14:paraId="194FE033" w14:textId="77777777" w:rsidR="000409C7" w:rsidRDefault="00155F50">
      <w:pPr>
        <w:spacing w:before="60" w:after="200"/>
      </w:pPr>
      <w:r>
        <w:rPr>
          <w:i/>
          <w:iCs/>
          <w:color w:val="595959"/>
          <w:sz w:val="17"/>
          <w:szCs w:val="17"/>
        </w:rPr>
        <w:t>Note: O*NET skill measures are produced by trained occupational analysts and reflect the U.S. labor market. They are linked to the COSCs as an indicative reference, to be validated against local conditions.</w:t>
      </w:r>
    </w:p>
    <w:p w14:paraId="2858BD2D" w14:textId="77777777" w:rsidR="000409C7" w:rsidRDefault="00155F50">
      <w:pPr>
        <w:pStyle w:val="Heading1"/>
      </w:pPr>
      <w:bookmarkStart w:id="19" w:name="_Toc232635700"/>
      <w:r>
        <w:t>6. Examples of Use</w:t>
      </w:r>
      <w:bookmarkEnd w:id="19"/>
    </w:p>
    <w:p w14:paraId="6F5E271C" w14:textId="77777777" w:rsidR="000409C7" w:rsidRDefault="00155F50">
      <w:pPr>
        <w:spacing w:after="160" w:line="276" w:lineRule="auto"/>
      </w:pPr>
      <w:r>
        <w:t xml:space="preserve">The examples in this section use preliminary results from the </w:t>
      </w:r>
      <w:r>
        <w:rPr>
          <w:i/>
          <w:iCs/>
        </w:rPr>
        <w:t>Bangladesh Occupations and Skills Catalog</w:t>
      </w:r>
      <w:r>
        <w:t>, constructed from the Bangladesh 2022 Quarterly Labor Force Survey.</w:t>
      </w:r>
      <w:r>
        <w:rPr>
          <w:rStyle w:val="FootnoteReference"/>
        </w:rPr>
        <w:footnoteReference w:id="9"/>
      </w:r>
      <w:r>
        <w:t xml:space="preserve"> For each sector, the catalog can be visualized as a ranked list of the top occupations, showing each occupation’s share of sector employment and the median education level of its workers, ordered by median hourly wage.</w:t>
      </w:r>
    </w:p>
    <w:p w14:paraId="0A0F4D1E" w14:textId="77777777" w:rsidR="000409C7" w:rsidRDefault="00155F50">
      <w:pPr>
        <w:pStyle w:val="Heading2"/>
      </w:pPr>
      <w:bookmarkStart w:id="20" w:name="_Toc232635701"/>
      <w:r>
        <w:t>6.1. Reading a sector profile</w:t>
      </w:r>
      <w:bookmarkEnd w:id="20"/>
    </w:p>
    <w:p w14:paraId="080E39C4" w14:textId="77777777" w:rsidR="000409C7" w:rsidRDefault="00155F50">
      <w:pPr>
        <w:spacing w:after="160" w:line="276" w:lineRule="auto"/>
      </w:pPr>
      <w:r>
        <w:t>A typical sector view from the catalog lists the most common occupations in a sector together with two pieces of information per occupation: the occupation’s share of total sector employment (how many workers it represents) and the median education level of those workers. Ordering the occupations by median hourly wage reveals how skill and pay vary across the sector. The three sectors below illustrate three very different employment structures.</w:t>
      </w:r>
    </w:p>
    <w:p w14:paraId="24CABAB8" w14:textId="77777777" w:rsidR="000409C7" w:rsidRDefault="00155F50">
      <w:pPr>
        <w:pStyle w:val="Heading3"/>
      </w:pPr>
      <w:r>
        <w:t>Tourism — a dual structure</w:t>
      </w:r>
    </w:p>
    <w:p w14:paraId="1069E642" w14:textId="77777777" w:rsidR="000409C7" w:rsidRDefault="00155F50">
      <w:pPr>
        <w:spacing w:after="160" w:line="276" w:lineRule="auto"/>
      </w:pPr>
      <w:r>
        <w:t>In Bangladesh’s tourism sector, the catalog reveals a wide range of occupations. A large share of employment is concentrated in service and retail roles — such as stall and market salespersons, street food salespersons, cooks, and waiters — typically held by workers with primary or incomplete secondary education. Alongside this broad base sits a smaller group of higher-skilled occupations — hotel managers, accountants, journalists, civil engineers, and cartographers — associated with higher education and ea</w:t>
      </w:r>
      <w:r>
        <w:t>rnings. This “dual structure” suggests that a tourism-skilling strategy may need to combine large-scale training for service occupations with targeted programs for higher-skilled managerial and professional roles.</w:t>
      </w:r>
    </w:p>
    <w:p w14:paraId="49B33B68" w14:textId="77777777" w:rsidR="000409C7" w:rsidRDefault="00155F50">
      <w:pPr>
        <w:pStyle w:val="Heading3"/>
      </w:pPr>
      <w:r>
        <w:t>Agribusiness — high concentration, low skill intensity</w:t>
      </w:r>
    </w:p>
    <w:p w14:paraId="7BFADEEB" w14:textId="77777777" w:rsidR="000409C7" w:rsidRDefault="00155F50">
      <w:pPr>
        <w:spacing w:after="160" w:line="276" w:lineRule="auto"/>
      </w:pPr>
      <w:r>
        <w:t>Agribusiness shows a very different pattern: employment is highly concentrated in a small number of occupations. Field crop and vegetable growers and crop farm laborers together account for a very large share of sector employment, and are predominantly held by workers with only primary schooling. A few higher-skilled roles exist — manufacturing supervisors, sales professionals, and sales and marketing managers — but they employ relatively few workers. Because employment is so concentrated, targeted skilling</w:t>
      </w:r>
      <w:r>
        <w:t xml:space="preserve"> focused on a handful of key occupations can reach a large share of the workforce and generate significant productivity gains.</w:t>
      </w:r>
    </w:p>
    <w:p w14:paraId="6246CAEA" w14:textId="77777777" w:rsidR="000409C7" w:rsidRDefault="00155F50">
      <w:pPr>
        <w:pStyle w:val="Heading3"/>
      </w:pPr>
      <w:r>
        <w:t>Healthcare — a multi-tiered workforce</w:t>
      </w:r>
    </w:p>
    <w:p w14:paraId="50E3626D" w14:textId="77777777" w:rsidR="000409C7" w:rsidRDefault="00155F50">
      <w:pPr>
        <w:spacing w:after="160" w:line="276" w:lineRule="auto"/>
      </w:pPr>
      <w:r>
        <w:t>Healthcare displays a more diversified skill composition. It includes highly specialized occupations — generalist and specialist medical practitioners, dentists, and nursing professionals — that require tertiary education and command higher earnings. At the same time, it relies on a range of mid-level and support roles, including community health workers, laboratory technicians, receptionists, and cleaners. Training needs therefore span multiple levels, from specialized clinical education to shorter pathway</w:t>
      </w:r>
      <w:r>
        <w:t>s for mid-level technicians and community health workers — calling for a balanced approach that supports both advanced professional training and scalable mid-level programs.</w:t>
      </w:r>
    </w:p>
    <w:p w14:paraId="3E43CD42" w14:textId="77777777" w:rsidR="000409C7" w:rsidRDefault="00155F50">
      <w:pPr>
        <w:pStyle w:val="Heading2"/>
      </w:pPr>
      <w:bookmarkStart w:id="21" w:name="_Toc232635702"/>
      <w:r>
        <w:t>6.2. Going beyond education: wages, informality, and job quality</w:t>
      </w:r>
      <w:bookmarkEnd w:id="21"/>
    </w:p>
    <w:p w14:paraId="4A2638C3" w14:textId="77777777" w:rsidR="000409C7" w:rsidRDefault="00155F50">
      <w:pPr>
        <w:spacing w:after="160" w:line="276" w:lineRule="auto"/>
      </w:pPr>
      <w:r>
        <w:t>The catalog’s additional indicators provide further insight into job quality. Ranking occupations by median hourly wage helps identify which roles are associated with higher productivity and earnings: in Bangladesh tourism, hotel managers, accountants, and civil engineers sit toward the higher end of the earnings distribution, while stall and market salespersons, street vendors, cooks, and waiters cluster toward the lower end.</w:t>
      </w:r>
    </w:p>
    <w:p w14:paraId="375C7E3C" w14:textId="77777777" w:rsidR="000409C7" w:rsidRDefault="00155F50">
      <w:pPr>
        <w:spacing w:after="160" w:line="276" w:lineRule="auto"/>
      </w:pPr>
      <w:r>
        <w:t>Information on informality and self-employment reveals differences in employment conditions that matter for how training is delivered. In Bangladesh agribusiness, many occupations — including crop growers and farm laborers — are more likely to involve informal or self-employed arrangements. This suggests that training solutions may need to rely more on flexible, community-based, or on-the-job learning models than on traditional institutional training.</w:t>
      </w:r>
    </w:p>
    <w:p w14:paraId="7263A520" w14:textId="77777777" w:rsidR="000409C7" w:rsidRDefault="00155F50">
      <w:pPr>
        <w:pStyle w:val="Heading2"/>
      </w:pPr>
      <w:bookmarkStart w:id="22" w:name="_Toc232635703"/>
      <w:r>
        <w:t>6.3. Using the global reference framework as a benchmark</w:t>
      </w:r>
      <w:bookmarkEnd w:id="22"/>
    </w:p>
    <w:p w14:paraId="73C2BAF4" w14:textId="77777777" w:rsidR="000409C7" w:rsidRDefault="00155F50">
      <w:pPr>
        <w:spacing w:after="160" w:line="276" w:lineRule="auto"/>
      </w:pPr>
      <w:r>
        <w:t>Linking the COSC to the GOSC allows teams to benchmark the diversity of a sector. For example, in the United States tourism sector roughly 82 percent of workers are spread across about 40 occupations, whereas in Bangladesh the same share of workers is concentrated in only about 10 occupations — indicating a lower diversity of roles. The reference framework can help teams think about how a sector might diversify over time, and about the skills and certifications that additional, emerging occupations would re</w:t>
      </w:r>
      <w:r>
        <w:t>quire (for example, the skills and training pathways needed to expand the number of diving instructors to support marine tourism).</w:t>
      </w:r>
    </w:p>
    <w:p w14:paraId="108B0613" w14:textId="77777777" w:rsidR="000409C7" w:rsidRDefault="00155F50">
      <w:pPr>
        <w:pStyle w:val="Heading2"/>
      </w:pPr>
      <w:bookmarkStart w:id="23" w:name="_Toc232635704"/>
      <w:r>
        <w:t>6.4. Operational applications for World Bank teams</w:t>
      </w:r>
      <w:bookmarkEnd w:id="23"/>
    </w:p>
    <w:p w14:paraId="4074BBE0" w14:textId="77777777" w:rsidR="000409C7" w:rsidRDefault="00155F50">
      <w:pPr>
        <w:spacing w:after="160" w:line="276" w:lineRule="auto"/>
      </w:pPr>
      <w:r>
        <w:t>Taken together, the catalogs provide a practical tool to connect sector strategies with workforce-development interventions:</w:t>
      </w:r>
    </w:p>
    <w:p w14:paraId="59586A53" w14:textId="77777777" w:rsidR="000409C7" w:rsidRDefault="00155F50">
      <w:pPr>
        <w:pStyle w:val="ListParagraph"/>
        <w:numPr>
          <w:ilvl w:val="0"/>
          <w:numId w:val="2"/>
        </w:numPr>
        <w:spacing w:after="80" w:line="276" w:lineRule="auto"/>
      </w:pPr>
      <w:r>
        <w:rPr>
          <w:b/>
          <w:bCs/>
        </w:rPr>
        <w:t xml:space="preserve">Targeting investment. </w:t>
      </w:r>
      <w:r>
        <w:t>By identifying the occupations that employ the most workers within a priority sector, the catalog shows where skills investments can have the greatest reach and the scale of the skilling challenge.</w:t>
      </w:r>
    </w:p>
    <w:p w14:paraId="2FF3C5D9" w14:textId="77777777" w:rsidR="000409C7" w:rsidRDefault="00155F50">
      <w:pPr>
        <w:pStyle w:val="ListParagraph"/>
        <w:numPr>
          <w:ilvl w:val="0"/>
          <w:numId w:val="2"/>
        </w:numPr>
        <w:spacing w:after="80" w:line="276" w:lineRule="auto"/>
      </w:pPr>
      <w:r>
        <w:rPr>
          <w:b/>
          <w:bCs/>
        </w:rPr>
        <w:t xml:space="preserve">Prioritizing for job quality. </w:t>
      </w:r>
      <w:r>
        <w:t>Information on education, wages, and employment conditions helps identify which occupations are linked to higher productivity and better jobs, informing decisions on training, certification, employer partnerships, and social protection.</w:t>
      </w:r>
    </w:p>
    <w:p w14:paraId="35F9EB8D" w14:textId="77777777" w:rsidR="000409C7" w:rsidRDefault="00155F50">
      <w:pPr>
        <w:pStyle w:val="ListParagraph"/>
        <w:numPr>
          <w:ilvl w:val="0"/>
          <w:numId w:val="2"/>
        </w:numPr>
        <w:spacing w:after="80" w:line="276" w:lineRule="auto"/>
      </w:pPr>
      <w:r>
        <w:rPr>
          <w:b/>
          <w:bCs/>
        </w:rPr>
        <w:t xml:space="preserve">Designing delivery. </w:t>
      </w:r>
      <w:r>
        <w:t>The enrichment fields (tasks, skills, OTJ training, delivery method) inform curriculum content, competency standards, and the most appropriate mode of training delivery.</w:t>
      </w:r>
    </w:p>
    <w:p w14:paraId="4FCE5245" w14:textId="77777777" w:rsidR="000409C7" w:rsidRDefault="00155F50">
      <w:pPr>
        <w:pStyle w:val="ListParagraph"/>
        <w:numPr>
          <w:ilvl w:val="0"/>
          <w:numId w:val="2"/>
        </w:numPr>
        <w:spacing w:after="80" w:line="276" w:lineRule="auto"/>
      </w:pPr>
      <w:r>
        <w:rPr>
          <w:b/>
          <w:bCs/>
        </w:rPr>
        <w:t xml:space="preserve">Strengthening dialogue. </w:t>
      </w:r>
      <w:r>
        <w:t>The catalog provides a common evidence base for policy dialogue with client governments and for aligning skills interventions with the actual structure of sectoral labor markets.</w:t>
      </w:r>
    </w:p>
    <w:p w14:paraId="3936F6EF" w14:textId="77777777" w:rsidR="000409C7" w:rsidRDefault="00155F50">
      <w:pPr>
        <w:pStyle w:val="Heading1"/>
      </w:pPr>
      <w:bookmarkStart w:id="24" w:name="_Toc232635705"/>
      <w:r>
        <w:t>7. Interpretation, Limitations, and Validation</w:t>
      </w:r>
      <w:bookmarkEnd w:id="24"/>
    </w:p>
    <w:p w14:paraId="0CAC0ED0" w14:textId="77777777" w:rsidR="000409C7" w:rsidRDefault="00155F50">
      <w:pPr>
        <w:pStyle w:val="Heading2"/>
      </w:pPr>
      <w:bookmarkStart w:id="25" w:name="_Toc232635706"/>
      <w:r>
        <w:t>7.1. What the COSCs are — and are not</w:t>
      </w:r>
      <w:bookmarkEnd w:id="25"/>
    </w:p>
    <w:p w14:paraId="3FC0E8D3" w14:textId="77777777" w:rsidR="000409C7" w:rsidRDefault="00155F50">
      <w:pPr>
        <w:spacing w:after="160" w:line="276" w:lineRule="auto"/>
      </w:pPr>
      <w:r>
        <w:t>The COSCs are intended to provide a structured reference framework for identifying the occupations and associated skill profiles within priority sectors. They are not short-term forecasts of how the occupational composition of sectors will change. Occupational structures tend to evolve gradually, so the broad distribution of occupations within a sector is relatively stable and the catalogs are not expected to require frequent updates to remain useful operationally.</w:t>
      </w:r>
    </w:p>
    <w:p w14:paraId="66B0C762" w14:textId="77777777" w:rsidR="000409C7" w:rsidRDefault="00155F50">
      <w:pPr>
        <w:spacing w:after="160" w:line="276" w:lineRule="auto"/>
      </w:pPr>
      <w:r>
        <w:t>What is more likely to evolve are the skills required within occupations. As technologies and production processes change, the tasks within existing occupations can shift toward more technical and specialized competencies — for example, traditional farming increasingly requires capabilities to operate, maintain, and repair agricultural machinery and cold-storage systems. The skill and task profiles in the catalogs should therefore be refined over time even when the occupational structure itself remains stab</w:t>
      </w:r>
      <w:r>
        <w:t>le.</w:t>
      </w:r>
    </w:p>
    <w:p w14:paraId="26DDE78D" w14:textId="77777777" w:rsidR="000409C7" w:rsidRDefault="00155F50">
      <w:pPr>
        <w:pStyle w:val="Heading2"/>
      </w:pPr>
      <w:bookmarkStart w:id="26" w:name="_Toc232635707"/>
      <w:r>
        <w:t>7.2. Key limitations to keep in mind</w:t>
      </w:r>
      <w:bookmarkEnd w:id="26"/>
    </w:p>
    <w:p w14:paraId="2A08C3BF" w14:textId="77777777" w:rsidR="000409C7" w:rsidRDefault="00155F50">
      <w:pPr>
        <w:pStyle w:val="ListParagraph"/>
        <w:numPr>
          <w:ilvl w:val="0"/>
          <w:numId w:val="2"/>
        </w:numPr>
        <w:spacing w:after="80" w:line="276" w:lineRule="auto"/>
      </w:pPr>
      <w:r>
        <w:t>Occupational granularity is limited to the level of detail each national survey supports, which is generally coarser than the U.S. classification used in the reference framework.</w:t>
      </w:r>
    </w:p>
    <w:p w14:paraId="2D4A40B8" w14:textId="77777777" w:rsidR="000409C7" w:rsidRDefault="00155F50">
      <w:pPr>
        <w:pStyle w:val="ListParagraph"/>
        <w:numPr>
          <w:ilvl w:val="0"/>
          <w:numId w:val="2"/>
        </w:numPr>
        <w:spacing w:after="80" w:line="276" w:lineRule="auto"/>
      </w:pPr>
      <w:r>
        <w:t>Skills, tasks, and training pathways are referential. They are drawn from U.S. data and describe occupations in general terms; production technologies and skill requirements vary across countries and require local contextualization.</w:t>
      </w:r>
    </w:p>
    <w:p w14:paraId="14A18D84" w14:textId="77777777" w:rsidR="000409C7" w:rsidRDefault="00155F50">
      <w:pPr>
        <w:pStyle w:val="ListParagraph"/>
        <w:numPr>
          <w:ilvl w:val="0"/>
          <w:numId w:val="2"/>
        </w:numPr>
        <w:spacing w:after="80" w:line="276" w:lineRule="auto"/>
      </w:pPr>
      <w:r>
        <w:t>Wage and informality measures depend on country-specific survey content and definitions, so cross-country comparisons should be made with care even though values are expressed in PPP terms.</w:t>
      </w:r>
    </w:p>
    <w:p w14:paraId="14BEBD0C" w14:textId="77777777" w:rsidR="000409C7" w:rsidRDefault="00155F50">
      <w:pPr>
        <w:pStyle w:val="Heading2"/>
      </w:pPr>
      <w:bookmarkStart w:id="27" w:name="_Toc232635708"/>
      <w:r>
        <w:t>7.3. How the catalogs are validated and refined</w:t>
      </w:r>
      <w:bookmarkEnd w:id="27"/>
    </w:p>
    <w:p w14:paraId="746742C2" w14:textId="77777777" w:rsidR="000409C7" w:rsidRDefault="00155F50">
      <w:pPr>
        <w:spacing w:after="160" w:line="276" w:lineRule="auto"/>
      </w:pPr>
      <w:r>
        <w:t>To strengthen country relevance, the catalogs are validated and refined through several complementary approaches:</w:t>
      </w:r>
    </w:p>
    <w:p w14:paraId="3878FEAB" w14:textId="77777777" w:rsidR="000409C7" w:rsidRDefault="00155F50">
      <w:pPr>
        <w:pStyle w:val="ListParagraph"/>
        <w:numPr>
          <w:ilvl w:val="0"/>
          <w:numId w:val="2"/>
        </w:numPr>
        <w:spacing w:after="80" w:line="276" w:lineRule="auto"/>
      </w:pPr>
      <w:r>
        <w:rPr>
          <w:b/>
          <w:bCs/>
        </w:rPr>
        <w:t xml:space="preserve">Online vacancy data. </w:t>
      </w:r>
      <w:r>
        <w:t>Referential skill profiles are triangulated with Lightcast online job-vacancy data, available for all six countries, to assess how well the U.S.-based profiles align with employer demand in South Asian labor markets.</w:t>
      </w:r>
    </w:p>
    <w:p w14:paraId="14CEB912" w14:textId="77777777" w:rsidR="000409C7" w:rsidRDefault="00155F50">
      <w:pPr>
        <w:pStyle w:val="ListParagraph"/>
        <w:numPr>
          <w:ilvl w:val="0"/>
          <w:numId w:val="2"/>
        </w:numPr>
        <w:spacing w:after="80" w:line="276" w:lineRule="auto"/>
      </w:pPr>
      <w:r>
        <w:rPr>
          <w:b/>
          <w:bCs/>
        </w:rPr>
        <w:t xml:space="preserve">Entry-level education proxies. </w:t>
      </w:r>
      <w:r>
        <w:t>Labor force survey data across countries and over time are used to sharpen entry-level education requirements — for example, examining education levels among younger cohorts within an occupation as a proxy for entry requirements.</w:t>
      </w:r>
    </w:p>
    <w:p w14:paraId="599E9DF0" w14:textId="77777777" w:rsidR="000409C7" w:rsidRDefault="00155F50">
      <w:pPr>
        <w:pStyle w:val="ListParagraph"/>
        <w:numPr>
          <w:ilvl w:val="0"/>
          <w:numId w:val="2"/>
        </w:numPr>
        <w:spacing w:after="80" w:line="276" w:lineRule="auto"/>
      </w:pPr>
      <w:r>
        <w:rPr>
          <w:b/>
          <w:bCs/>
        </w:rPr>
        <w:t xml:space="preserve">Expert review. </w:t>
      </w:r>
      <w:r>
        <w:t>World Bank sectoral experts across the region review the catalogs iteratively to assess their validity and implications for skills development.</w:t>
      </w:r>
    </w:p>
    <w:p w14:paraId="351DD515" w14:textId="77777777" w:rsidR="000409C7" w:rsidRDefault="00155F50">
      <w:pPr>
        <w:pStyle w:val="ListParagraph"/>
        <w:numPr>
          <w:ilvl w:val="0"/>
          <w:numId w:val="2"/>
        </w:numPr>
        <w:spacing w:after="80" w:line="276" w:lineRule="auto"/>
      </w:pPr>
      <w:r>
        <w:rPr>
          <w:b/>
          <w:bCs/>
        </w:rPr>
        <w:t xml:space="preserve">Alternative taxonomies. </w:t>
      </w:r>
      <w:r>
        <w:t>International skills taxonomies such as the European ESCO framework are explored to complement and cross-check the U.S.-based reference framework.</w:t>
      </w:r>
    </w:p>
    <w:p w14:paraId="548458C0" w14:textId="77777777" w:rsidR="000409C7" w:rsidRDefault="00155F50">
      <w:pPr>
        <w:pStyle w:val="ListParagraph"/>
        <w:numPr>
          <w:ilvl w:val="0"/>
          <w:numId w:val="2"/>
        </w:numPr>
        <w:spacing w:after="80" w:line="276" w:lineRule="auto"/>
      </w:pPr>
      <w:r>
        <w:rPr>
          <w:b/>
          <w:bCs/>
        </w:rPr>
        <w:t xml:space="preserve">Targeted consultations. </w:t>
      </w:r>
      <w:r>
        <w:t>Workshops and consultations with employers, employer associations, training providers, and sector experts help contextualize skills and tasks and identify emerging occupations.</w:t>
      </w:r>
    </w:p>
    <w:p w14:paraId="744D9A95" w14:textId="77777777" w:rsidR="000409C7" w:rsidRDefault="00155F50">
      <w:pPr>
        <w:spacing w:after="160" w:line="276" w:lineRule="auto"/>
      </w:pPr>
      <w:r>
        <w:t>This approach mirrors experience in other developing-country settings, where a U.S.-based framework has been used as an initial organizing structure and then validated locally.</w:t>
      </w:r>
      <w:r>
        <w:rPr>
          <w:rStyle w:val="FootnoteReference"/>
        </w:rPr>
        <w:footnoteReference w:id="10"/>
      </w:r>
      <w:r>
        <w:t xml:space="preserve"> Treated as a starting point for local validation rather than a direct representation of country conditions, the reference framework provides a practical foundation that the validation process progressively adapts to each country.</w:t>
      </w:r>
    </w:p>
    <w:p w14:paraId="6030485A" w14:textId="77777777" w:rsidR="000409C7" w:rsidRDefault="00155F50">
      <w:r>
        <w:br w:type="page"/>
      </w:r>
    </w:p>
    <w:p w14:paraId="37549936" w14:textId="77777777" w:rsidR="000409C7" w:rsidRDefault="00155F50">
      <w:pPr>
        <w:pStyle w:val="Heading1"/>
      </w:pPr>
      <w:bookmarkStart w:id="28" w:name="_Toc232635709"/>
      <w:r>
        <w:t>Annex A. Industry Definitions of the Priority Sectors</w:t>
      </w:r>
      <w:bookmarkEnd w:id="28"/>
    </w:p>
    <w:p w14:paraId="43867167" w14:textId="77777777" w:rsidR="000409C7" w:rsidRDefault="00155F50">
      <w:pPr>
        <w:spacing w:after="160" w:line="276" w:lineRule="auto"/>
      </w:pPr>
      <w:r>
        <w:t>Each priority sector is defined as a set of ISIC Rev. 4 industries. The table below summarizes the definitions used to identify priority-sector workers in the survey data.</w:t>
      </w:r>
    </w:p>
    <w:p w14:paraId="17B94C85" w14:textId="77777777" w:rsidR="000409C7" w:rsidRDefault="00155F50">
      <w:pPr>
        <w:spacing w:before="160" w:after="80"/>
      </w:pPr>
      <w:r>
        <w:rPr>
          <w:b/>
          <w:bCs/>
          <w:color w:val="1F3864"/>
          <w:sz w:val="20"/>
          <w:szCs w:val="20"/>
        </w:rPr>
        <w:t>Table A1. Priority-sector definitions (ISIC Rev. 4)</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0409C7" w14:paraId="1BD4C088" w14:textId="77777777">
        <w:tblPrEx>
          <w:tblCellMar>
            <w:top w:w="0" w:type="dxa"/>
            <w:bottom w:w="0" w:type="dxa"/>
          </w:tblCellMar>
        </w:tblPrEx>
        <w:trPr>
          <w:tblHeader/>
        </w:trPr>
        <w:tc>
          <w:tcPr>
            <w:tcW w:w="2600" w:type="dxa"/>
            <w:shd w:val="clear" w:color="auto" w:fill="1F3864"/>
            <w:tcMar>
              <w:top w:w="60" w:type="dxa"/>
              <w:left w:w="120" w:type="dxa"/>
              <w:bottom w:w="60" w:type="dxa"/>
              <w:right w:w="120" w:type="dxa"/>
            </w:tcMar>
            <w:vAlign w:val="center"/>
          </w:tcPr>
          <w:p w14:paraId="3AB94476" w14:textId="77777777" w:rsidR="000409C7" w:rsidRDefault="00155F50">
            <w:r>
              <w:rPr>
                <w:b/>
                <w:bCs/>
                <w:color w:val="FFFFFF"/>
                <w:sz w:val="19"/>
                <w:szCs w:val="19"/>
              </w:rPr>
              <w:t>Priority sector</w:t>
            </w:r>
          </w:p>
        </w:tc>
        <w:tc>
          <w:tcPr>
            <w:tcW w:w="6760" w:type="dxa"/>
            <w:shd w:val="clear" w:color="auto" w:fill="1F3864"/>
            <w:tcMar>
              <w:top w:w="60" w:type="dxa"/>
              <w:left w:w="120" w:type="dxa"/>
              <w:bottom w:w="60" w:type="dxa"/>
              <w:right w:w="120" w:type="dxa"/>
            </w:tcMar>
            <w:vAlign w:val="center"/>
          </w:tcPr>
          <w:p w14:paraId="70843AE8" w14:textId="77777777" w:rsidR="000409C7" w:rsidRDefault="00155F50">
            <w:r>
              <w:rPr>
                <w:b/>
                <w:bCs/>
                <w:color w:val="FFFFFF"/>
                <w:sz w:val="19"/>
                <w:szCs w:val="19"/>
              </w:rPr>
              <w:t>ISIC Rev. 4 coverage</w:t>
            </w:r>
          </w:p>
        </w:tc>
      </w:tr>
      <w:tr w:rsidR="000409C7" w14:paraId="574F5464" w14:textId="77777777">
        <w:tblPrEx>
          <w:tblCellMar>
            <w:top w:w="0" w:type="dxa"/>
            <w:bottom w:w="0" w:type="dxa"/>
          </w:tblCellMar>
        </w:tblPrEx>
        <w:tc>
          <w:tcPr>
            <w:tcW w:w="2600" w:type="dxa"/>
            <w:shd w:val="clear" w:color="auto" w:fill="FFFFFF"/>
            <w:tcMar>
              <w:top w:w="60" w:type="dxa"/>
              <w:left w:w="120" w:type="dxa"/>
              <w:bottom w:w="60" w:type="dxa"/>
              <w:right w:w="120" w:type="dxa"/>
            </w:tcMar>
            <w:vAlign w:val="center"/>
          </w:tcPr>
          <w:p w14:paraId="4BEAEAC3" w14:textId="77777777" w:rsidR="000409C7" w:rsidRDefault="00155F50">
            <w:pPr>
              <w:spacing w:line="252" w:lineRule="auto"/>
            </w:pPr>
            <w:r>
              <w:rPr>
                <w:b/>
                <w:bCs/>
                <w:sz w:val="19"/>
                <w:szCs w:val="19"/>
              </w:rPr>
              <w:t>Infrastructure and Energy</w:t>
            </w:r>
          </w:p>
        </w:tc>
        <w:tc>
          <w:tcPr>
            <w:tcW w:w="6760" w:type="dxa"/>
            <w:shd w:val="clear" w:color="auto" w:fill="FFFFFF"/>
            <w:tcMar>
              <w:top w:w="60" w:type="dxa"/>
              <w:left w:w="120" w:type="dxa"/>
              <w:bottom w:w="60" w:type="dxa"/>
              <w:right w:w="120" w:type="dxa"/>
            </w:tcMar>
            <w:vAlign w:val="center"/>
          </w:tcPr>
          <w:p w14:paraId="0E3D0E03" w14:textId="77777777" w:rsidR="000409C7" w:rsidRDefault="00155F50">
            <w:pPr>
              <w:spacing w:line="252" w:lineRule="auto"/>
            </w:pPr>
            <w:r>
              <w:rPr>
                <w:sz w:val="19"/>
                <w:szCs w:val="19"/>
              </w:rPr>
              <w:t>Divisions 35–39 (electricity, gas; water supply, sewerage, waste management), 41–43 (construction), and 61 (telecommunications).</w:t>
            </w:r>
          </w:p>
        </w:tc>
      </w:tr>
      <w:tr w:rsidR="000409C7" w14:paraId="425952E9" w14:textId="77777777">
        <w:tblPrEx>
          <w:tblCellMar>
            <w:top w:w="0" w:type="dxa"/>
            <w:bottom w:w="0" w:type="dxa"/>
          </w:tblCellMar>
        </w:tblPrEx>
        <w:tc>
          <w:tcPr>
            <w:tcW w:w="2600" w:type="dxa"/>
            <w:shd w:val="clear" w:color="auto" w:fill="EAF0FA"/>
            <w:tcMar>
              <w:top w:w="60" w:type="dxa"/>
              <w:left w:w="120" w:type="dxa"/>
              <w:bottom w:w="60" w:type="dxa"/>
              <w:right w:w="120" w:type="dxa"/>
            </w:tcMar>
            <w:vAlign w:val="center"/>
          </w:tcPr>
          <w:p w14:paraId="19656F3A" w14:textId="77777777" w:rsidR="000409C7" w:rsidRDefault="00155F50">
            <w:pPr>
              <w:spacing w:line="252" w:lineRule="auto"/>
            </w:pPr>
            <w:r>
              <w:rPr>
                <w:b/>
                <w:bCs/>
                <w:sz w:val="19"/>
                <w:szCs w:val="19"/>
              </w:rPr>
              <w:t>Manufacturing</w:t>
            </w:r>
          </w:p>
        </w:tc>
        <w:tc>
          <w:tcPr>
            <w:tcW w:w="6760" w:type="dxa"/>
            <w:shd w:val="clear" w:color="auto" w:fill="EAF0FA"/>
            <w:tcMar>
              <w:top w:w="60" w:type="dxa"/>
              <w:left w:w="120" w:type="dxa"/>
              <w:bottom w:w="60" w:type="dxa"/>
              <w:right w:w="120" w:type="dxa"/>
            </w:tcMar>
            <w:vAlign w:val="center"/>
          </w:tcPr>
          <w:p w14:paraId="6368B0F3" w14:textId="77777777" w:rsidR="000409C7" w:rsidRDefault="00155F50">
            <w:pPr>
              <w:spacing w:line="252" w:lineRule="auto"/>
            </w:pPr>
            <w:r>
              <w:rPr>
                <w:sz w:val="19"/>
                <w:szCs w:val="19"/>
              </w:rPr>
              <w:t>Divisions 13–33 (all manufacturing activities, excluding agribusiness-related food, beverage, and tobacco processing).</w:t>
            </w:r>
          </w:p>
        </w:tc>
      </w:tr>
      <w:tr w:rsidR="000409C7" w14:paraId="7AE17385" w14:textId="77777777">
        <w:tblPrEx>
          <w:tblCellMar>
            <w:top w:w="0" w:type="dxa"/>
            <w:bottom w:w="0" w:type="dxa"/>
          </w:tblCellMar>
        </w:tblPrEx>
        <w:tc>
          <w:tcPr>
            <w:tcW w:w="2600" w:type="dxa"/>
            <w:shd w:val="clear" w:color="auto" w:fill="FFFFFF"/>
            <w:tcMar>
              <w:top w:w="60" w:type="dxa"/>
              <w:left w:w="120" w:type="dxa"/>
              <w:bottom w:w="60" w:type="dxa"/>
              <w:right w:w="120" w:type="dxa"/>
            </w:tcMar>
            <w:vAlign w:val="center"/>
          </w:tcPr>
          <w:p w14:paraId="77CE9F6A" w14:textId="77777777" w:rsidR="000409C7" w:rsidRDefault="00155F50">
            <w:pPr>
              <w:spacing w:line="252" w:lineRule="auto"/>
            </w:pPr>
            <w:r>
              <w:rPr>
                <w:b/>
                <w:bCs/>
                <w:sz w:val="19"/>
                <w:szCs w:val="19"/>
              </w:rPr>
              <w:t>Healthcare</w:t>
            </w:r>
          </w:p>
        </w:tc>
        <w:tc>
          <w:tcPr>
            <w:tcW w:w="6760" w:type="dxa"/>
            <w:shd w:val="clear" w:color="auto" w:fill="FFFFFF"/>
            <w:tcMar>
              <w:top w:w="60" w:type="dxa"/>
              <w:left w:w="120" w:type="dxa"/>
              <w:bottom w:w="60" w:type="dxa"/>
              <w:right w:w="120" w:type="dxa"/>
            </w:tcMar>
            <w:vAlign w:val="center"/>
          </w:tcPr>
          <w:p w14:paraId="4CC69F7E" w14:textId="77777777" w:rsidR="000409C7" w:rsidRDefault="00155F50">
            <w:pPr>
              <w:spacing w:line="252" w:lineRule="auto"/>
            </w:pPr>
            <w:r>
              <w:rPr>
                <w:sz w:val="19"/>
                <w:szCs w:val="19"/>
              </w:rPr>
              <w:t>Divisions 86 (human health activities) and 87 (residential care activities).</w:t>
            </w:r>
          </w:p>
        </w:tc>
      </w:tr>
      <w:tr w:rsidR="000409C7" w14:paraId="36CDBE66" w14:textId="77777777">
        <w:tblPrEx>
          <w:tblCellMar>
            <w:top w:w="0" w:type="dxa"/>
            <w:bottom w:w="0" w:type="dxa"/>
          </w:tblCellMar>
        </w:tblPrEx>
        <w:tc>
          <w:tcPr>
            <w:tcW w:w="2600" w:type="dxa"/>
            <w:shd w:val="clear" w:color="auto" w:fill="EAF0FA"/>
            <w:tcMar>
              <w:top w:w="60" w:type="dxa"/>
              <w:left w:w="120" w:type="dxa"/>
              <w:bottom w:w="60" w:type="dxa"/>
              <w:right w:w="120" w:type="dxa"/>
            </w:tcMar>
            <w:vAlign w:val="center"/>
          </w:tcPr>
          <w:p w14:paraId="3619B1D9" w14:textId="77777777" w:rsidR="000409C7" w:rsidRDefault="00155F50">
            <w:pPr>
              <w:spacing w:line="252" w:lineRule="auto"/>
            </w:pPr>
            <w:r>
              <w:rPr>
                <w:b/>
                <w:bCs/>
                <w:sz w:val="19"/>
                <w:szCs w:val="19"/>
              </w:rPr>
              <w:t>Tourism</w:t>
            </w:r>
          </w:p>
        </w:tc>
        <w:tc>
          <w:tcPr>
            <w:tcW w:w="6760" w:type="dxa"/>
            <w:shd w:val="clear" w:color="auto" w:fill="EAF0FA"/>
            <w:tcMar>
              <w:top w:w="60" w:type="dxa"/>
              <w:left w:w="120" w:type="dxa"/>
              <w:bottom w:w="60" w:type="dxa"/>
              <w:right w:w="120" w:type="dxa"/>
            </w:tcMar>
            <w:vAlign w:val="center"/>
          </w:tcPr>
          <w:p w14:paraId="12C8A77A" w14:textId="77777777" w:rsidR="000409C7" w:rsidRDefault="00155F50">
            <w:pPr>
              <w:spacing w:line="252" w:lineRule="auto"/>
            </w:pPr>
            <w:r>
              <w:rPr>
                <w:sz w:val="19"/>
                <w:szCs w:val="19"/>
              </w:rPr>
              <w:t>ILO definition at the ISIC 4-digit level: accommodation, food and beverage services, passenger transport, travel services, and recreation-related activities.</w:t>
            </w:r>
          </w:p>
        </w:tc>
      </w:tr>
      <w:tr w:rsidR="000409C7" w14:paraId="2B8B8D75" w14:textId="77777777">
        <w:tblPrEx>
          <w:tblCellMar>
            <w:top w:w="0" w:type="dxa"/>
            <w:bottom w:w="0" w:type="dxa"/>
          </w:tblCellMar>
        </w:tblPrEx>
        <w:tc>
          <w:tcPr>
            <w:tcW w:w="2600" w:type="dxa"/>
            <w:shd w:val="clear" w:color="auto" w:fill="FFFFFF"/>
            <w:tcMar>
              <w:top w:w="60" w:type="dxa"/>
              <w:left w:w="120" w:type="dxa"/>
              <w:bottom w:w="60" w:type="dxa"/>
              <w:right w:w="120" w:type="dxa"/>
            </w:tcMar>
            <w:vAlign w:val="center"/>
          </w:tcPr>
          <w:p w14:paraId="0E0E290C" w14:textId="77777777" w:rsidR="000409C7" w:rsidRDefault="00155F50">
            <w:pPr>
              <w:spacing w:line="252" w:lineRule="auto"/>
            </w:pPr>
            <w:r>
              <w:rPr>
                <w:b/>
                <w:bCs/>
                <w:sz w:val="19"/>
                <w:szCs w:val="19"/>
              </w:rPr>
              <w:t>Agribusiness</w:t>
            </w:r>
          </w:p>
        </w:tc>
        <w:tc>
          <w:tcPr>
            <w:tcW w:w="6760" w:type="dxa"/>
            <w:shd w:val="clear" w:color="auto" w:fill="FFFFFF"/>
            <w:tcMar>
              <w:top w:w="60" w:type="dxa"/>
              <w:left w:w="120" w:type="dxa"/>
              <w:bottom w:w="60" w:type="dxa"/>
              <w:right w:w="120" w:type="dxa"/>
            </w:tcMar>
            <w:vAlign w:val="center"/>
          </w:tcPr>
          <w:p w14:paraId="50496A9B" w14:textId="77777777" w:rsidR="000409C7" w:rsidRDefault="00155F50">
            <w:pPr>
              <w:spacing w:line="252" w:lineRule="auto"/>
            </w:pPr>
            <w:r>
              <w:rPr>
                <w:sz w:val="19"/>
                <w:szCs w:val="19"/>
              </w:rPr>
              <w:t>Wage employment in divisions 01–03 (crop and animal production, forestry, fishing) and all employment in divisions 10–12 (manufacture of food products, beverages, and tobacco).</w:t>
            </w:r>
          </w:p>
        </w:tc>
      </w:tr>
    </w:tbl>
    <w:p w14:paraId="23BE907B" w14:textId="77777777" w:rsidR="000409C7" w:rsidRDefault="00155F50">
      <w:pPr>
        <w:spacing w:before="60" w:after="200"/>
      </w:pPr>
      <w:r>
        <w:rPr>
          <w:i/>
          <w:iCs/>
          <w:color w:val="595959"/>
          <w:sz w:val="17"/>
          <w:szCs w:val="17"/>
        </w:rPr>
        <w:t>Note: For Infrastructure &amp; Energy, Healthcare, Manufacturing, and Agribusiness, definitions are applied at the ISIC 2-digit (division) level; for Tourism, at the ISIC 4-digit level. Within Infrastructure and Energy, energy (ISIC 35), digital infrastructure (ISIC 61), and core infrastructure (ISIC 36–39, 41–43) can be identified separately.</w:t>
      </w:r>
    </w:p>
    <w:p w14:paraId="60B98364" w14:textId="77777777" w:rsidR="000409C7" w:rsidRDefault="00155F50">
      <w:pPr>
        <w:spacing w:after="160" w:line="276" w:lineRule="auto"/>
      </w:pPr>
      <w:r>
        <w:rPr>
          <w:b/>
          <w:bCs/>
        </w:rPr>
        <w:t xml:space="preserve">Tourism ISIC 4-digit codes. </w:t>
      </w:r>
      <w:r>
        <w:t>The tourism definition comprises the following ISIC Rev. 4 four-digit codes: 5510, 5520, 5590, 5610, 5629, 5630, 6810, 6820, 4911, 4922, 5011, 5021, 5110, 7710, 7721, 9000, 9102, 9103, 9200, 9311, 9319, 9321, 9329, 7911, 7912, and 7990.</w:t>
      </w:r>
    </w:p>
    <w:p w14:paraId="47F282D2" w14:textId="77777777" w:rsidR="000409C7" w:rsidRDefault="00155F50">
      <w:pPr>
        <w:pStyle w:val="Heading1"/>
      </w:pPr>
      <w:bookmarkStart w:id="29" w:name="_Toc232635710"/>
      <w:r>
        <w:t>Annex B. COSC Field Dictionary</w:t>
      </w:r>
      <w:bookmarkEnd w:id="29"/>
    </w:p>
    <w:p w14:paraId="3D9196EB" w14:textId="77777777" w:rsidR="000409C7" w:rsidRDefault="00155F50">
      <w:pPr>
        <w:spacing w:after="160" w:line="276" w:lineRule="auto"/>
      </w:pPr>
      <w:r>
        <w:t>This annex provides the precise definition of each country-specific field in the catalog. Every field is computed at the sector–occupation level.</w:t>
      </w:r>
    </w:p>
    <w:p w14:paraId="15578D0A" w14:textId="77777777" w:rsidR="000409C7" w:rsidRDefault="00155F50">
      <w:pPr>
        <w:spacing w:before="160" w:after="80"/>
      </w:pPr>
      <w:r>
        <w:rPr>
          <w:b/>
          <w:bCs/>
          <w:color w:val="1F3864"/>
          <w:sz w:val="20"/>
          <w:szCs w:val="20"/>
        </w:rPr>
        <w:t>Table B1. Definitions of country-specific COSC fields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6460"/>
      </w:tblGrid>
      <w:tr w:rsidR="000409C7" w14:paraId="5AA221C6" w14:textId="77777777">
        <w:tblPrEx>
          <w:tblCellMar>
            <w:top w:w="0" w:type="dxa"/>
            <w:bottom w:w="0" w:type="dxa"/>
          </w:tblCellMar>
        </w:tblPrEx>
        <w:trPr>
          <w:tblHeader/>
        </w:trPr>
        <w:tc>
          <w:tcPr>
            <w:tcW w:w="2900" w:type="dxa"/>
            <w:shd w:val="clear" w:color="auto" w:fill="1F3864"/>
            <w:tcMar>
              <w:top w:w="60" w:type="dxa"/>
              <w:left w:w="120" w:type="dxa"/>
              <w:bottom w:w="60" w:type="dxa"/>
              <w:right w:w="120" w:type="dxa"/>
            </w:tcMar>
            <w:vAlign w:val="center"/>
          </w:tcPr>
          <w:p w14:paraId="5ACA800A" w14:textId="77777777" w:rsidR="000409C7" w:rsidRDefault="00155F50">
            <w:r>
              <w:rPr>
                <w:b/>
                <w:bCs/>
                <w:color w:val="FFFFFF"/>
                <w:sz w:val="19"/>
                <w:szCs w:val="19"/>
              </w:rPr>
              <w:t>Field</w:t>
            </w:r>
          </w:p>
        </w:tc>
        <w:tc>
          <w:tcPr>
            <w:tcW w:w="6460" w:type="dxa"/>
            <w:shd w:val="clear" w:color="auto" w:fill="1F3864"/>
            <w:tcMar>
              <w:top w:w="60" w:type="dxa"/>
              <w:left w:w="120" w:type="dxa"/>
              <w:bottom w:w="60" w:type="dxa"/>
              <w:right w:w="120" w:type="dxa"/>
            </w:tcMar>
            <w:vAlign w:val="center"/>
          </w:tcPr>
          <w:p w14:paraId="259EDD72" w14:textId="77777777" w:rsidR="000409C7" w:rsidRDefault="00155F50">
            <w:r>
              <w:rPr>
                <w:b/>
                <w:bCs/>
                <w:color w:val="FFFFFF"/>
                <w:sz w:val="19"/>
                <w:szCs w:val="19"/>
              </w:rPr>
              <w:t>Definition</w:t>
            </w:r>
          </w:p>
        </w:tc>
      </w:tr>
      <w:tr w:rsidR="000409C7" w14:paraId="6370200A" w14:textId="77777777">
        <w:tblPrEx>
          <w:tblCellMar>
            <w:top w:w="0" w:type="dxa"/>
            <w:bottom w:w="0" w:type="dxa"/>
          </w:tblCellMar>
        </w:tblPrEx>
        <w:tc>
          <w:tcPr>
            <w:tcW w:w="2900" w:type="dxa"/>
            <w:shd w:val="clear" w:color="auto" w:fill="FFFFFF"/>
            <w:tcMar>
              <w:top w:w="60" w:type="dxa"/>
              <w:left w:w="120" w:type="dxa"/>
              <w:bottom w:w="60" w:type="dxa"/>
              <w:right w:w="120" w:type="dxa"/>
            </w:tcMar>
            <w:vAlign w:val="center"/>
          </w:tcPr>
          <w:p w14:paraId="18F68E16" w14:textId="77777777" w:rsidR="000409C7" w:rsidRDefault="00155F50">
            <w:pPr>
              <w:spacing w:line="252" w:lineRule="auto"/>
            </w:pPr>
            <w:r>
              <w:rPr>
                <w:sz w:val="19"/>
                <w:szCs w:val="19"/>
              </w:rPr>
              <w:t>Occupation code and title (ISCO)</w:t>
            </w:r>
          </w:p>
        </w:tc>
        <w:tc>
          <w:tcPr>
            <w:tcW w:w="6460" w:type="dxa"/>
            <w:shd w:val="clear" w:color="auto" w:fill="FFFFFF"/>
            <w:tcMar>
              <w:top w:w="60" w:type="dxa"/>
              <w:left w:w="120" w:type="dxa"/>
              <w:bottom w:w="60" w:type="dxa"/>
              <w:right w:w="120" w:type="dxa"/>
            </w:tcMar>
            <w:vAlign w:val="center"/>
          </w:tcPr>
          <w:p w14:paraId="45B59DB6" w14:textId="77777777" w:rsidR="000409C7" w:rsidRDefault="00155F50">
            <w:pPr>
              <w:spacing w:line="252" w:lineRule="auto"/>
            </w:pPr>
            <w:r>
              <w:rPr>
                <w:sz w:val="19"/>
                <w:szCs w:val="19"/>
              </w:rPr>
              <w:t>Occupation identifier and title defined according to the International Standard Classification of Occupations, at the most detailed level available in each survey.</w:t>
            </w:r>
          </w:p>
        </w:tc>
      </w:tr>
      <w:tr w:rsidR="000409C7" w14:paraId="1CD32842" w14:textId="77777777">
        <w:tblPrEx>
          <w:tblCellMar>
            <w:top w:w="0" w:type="dxa"/>
            <w:bottom w:w="0" w:type="dxa"/>
          </w:tblCellMar>
        </w:tblPrEx>
        <w:tc>
          <w:tcPr>
            <w:tcW w:w="2900" w:type="dxa"/>
            <w:shd w:val="clear" w:color="auto" w:fill="EAF0FA"/>
            <w:tcMar>
              <w:top w:w="60" w:type="dxa"/>
              <w:left w:w="120" w:type="dxa"/>
              <w:bottom w:w="60" w:type="dxa"/>
              <w:right w:w="120" w:type="dxa"/>
            </w:tcMar>
            <w:vAlign w:val="center"/>
          </w:tcPr>
          <w:p w14:paraId="5F8A0010" w14:textId="77777777" w:rsidR="000409C7" w:rsidRDefault="00155F50">
            <w:pPr>
              <w:spacing w:line="252" w:lineRule="auto"/>
            </w:pPr>
            <w:r>
              <w:rPr>
                <w:sz w:val="19"/>
                <w:szCs w:val="19"/>
              </w:rPr>
              <w:t>Typical level of education</w:t>
            </w:r>
          </w:p>
        </w:tc>
        <w:tc>
          <w:tcPr>
            <w:tcW w:w="6460" w:type="dxa"/>
            <w:shd w:val="clear" w:color="auto" w:fill="EAF0FA"/>
            <w:tcMar>
              <w:top w:w="60" w:type="dxa"/>
              <w:left w:w="120" w:type="dxa"/>
              <w:bottom w:w="60" w:type="dxa"/>
              <w:right w:w="120" w:type="dxa"/>
            </w:tcMar>
            <w:vAlign w:val="center"/>
          </w:tcPr>
          <w:p w14:paraId="4C315D3F" w14:textId="77777777" w:rsidR="000409C7" w:rsidRDefault="00155F50">
            <w:pPr>
              <w:spacing w:line="252" w:lineRule="auto"/>
            </w:pPr>
            <w:r>
              <w:rPr>
                <w:sz w:val="19"/>
                <w:szCs w:val="19"/>
              </w:rPr>
              <w:t>The median level of completed education among employed individuals in the occupation.</w:t>
            </w:r>
          </w:p>
        </w:tc>
      </w:tr>
      <w:tr w:rsidR="000409C7" w14:paraId="4FB1C5DE" w14:textId="77777777">
        <w:tblPrEx>
          <w:tblCellMar>
            <w:top w:w="0" w:type="dxa"/>
            <w:bottom w:w="0" w:type="dxa"/>
          </w:tblCellMar>
        </w:tblPrEx>
        <w:tc>
          <w:tcPr>
            <w:tcW w:w="2900" w:type="dxa"/>
            <w:shd w:val="clear" w:color="auto" w:fill="FFFFFF"/>
            <w:tcMar>
              <w:top w:w="60" w:type="dxa"/>
              <w:left w:w="120" w:type="dxa"/>
              <w:bottom w:w="60" w:type="dxa"/>
              <w:right w:w="120" w:type="dxa"/>
            </w:tcMar>
            <w:vAlign w:val="center"/>
          </w:tcPr>
          <w:p w14:paraId="6BBC34CE" w14:textId="77777777" w:rsidR="000409C7" w:rsidRDefault="00155F50">
            <w:pPr>
              <w:spacing w:line="252" w:lineRule="auto"/>
            </w:pPr>
            <w:r>
              <w:rPr>
                <w:sz w:val="19"/>
                <w:szCs w:val="19"/>
              </w:rPr>
              <w:t>Share of employment in the sector</w:t>
            </w:r>
          </w:p>
        </w:tc>
        <w:tc>
          <w:tcPr>
            <w:tcW w:w="6460" w:type="dxa"/>
            <w:shd w:val="clear" w:color="auto" w:fill="FFFFFF"/>
            <w:tcMar>
              <w:top w:w="60" w:type="dxa"/>
              <w:left w:w="120" w:type="dxa"/>
              <w:bottom w:w="60" w:type="dxa"/>
              <w:right w:w="120" w:type="dxa"/>
            </w:tcMar>
            <w:vAlign w:val="center"/>
          </w:tcPr>
          <w:p w14:paraId="2E42B1F5" w14:textId="77777777" w:rsidR="000409C7" w:rsidRDefault="00155F50">
            <w:pPr>
              <w:spacing w:line="252" w:lineRule="auto"/>
            </w:pPr>
            <w:r>
              <w:rPr>
                <w:sz w:val="19"/>
                <w:szCs w:val="19"/>
              </w:rPr>
              <w:t>The occupation’s share of total employment within the priority sector, computed from sector–occupation employment relationships in the survey data.</w:t>
            </w:r>
          </w:p>
        </w:tc>
      </w:tr>
      <w:tr w:rsidR="000409C7" w14:paraId="339B1002" w14:textId="77777777">
        <w:tblPrEx>
          <w:tblCellMar>
            <w:top w:w="0" w:type="dxa"/>
            <w:bottom w:w="0" w:type="dxa"/>
          </w:tblCellMar>
        </w:tblPrEx>
        <w:tc>
          <w:tcPr>
            <w:tcW w:w="2900" w:type="dxa"/>
            <w:shd w:val="clear" w:color="auto" w:fill="EAF0FA"/>
            <w:tcMar>
              <w:top w:w="60" w:type="dxa"/>
              <w:left w:w="120" w:type="dxa"/>
              <w:bottom w:w="60" w:type="dxa"/>
              <w:right w:w="120" w:type="dxa"/>
            </w:tcMar>
            <w:vAlign w:val="center"/>
          </w:tcPr>
          <w:p w14:paraId="7200A286" w14:textId="77777777" w:rsidR="000409C7" w:rsidRDefault="00155F50">
            <w:pPr>
              <w:spacing w:line="252" w:lineRule="auto"/>
            </w:pPr>
            <w:r>
              <w:rPr>
                <w:sz w:val="19"/>
                <w:szCs w:val="19"/>
              </w:rPr>
              <w:t>Median pay rank</w:t>
            </w:r>
          </w:p>
        </w:tc>
        <w:tc>
          <w:tcPr>
            <w:tcW w:w="6460" w:type="dxa"/>
            <w:shd w:val="clear" w:color="auto" w:fill="EAF0FA"/>
            <w:tcMar>
              <w:top w:w="60" w:type="dxa"/>
              <w:left w:w="120" w:type="dxa"/>
              <w:bottom w:w="60" w:type="dxa"/>
              <w:right w:w="120" w:type="dxa"/>
            </w:tcMar>
            <w:vAlign w:val="center"/>
          </w:tcPr>
          <w:p w14:paraId="1D67D675" w14:textId="77777777" w:rsidR="000409C7" w:rsidRDefault="00155F50">
            <w:pPr>
              <w:spacing w:line="252" w:lineRule="auto"/>
            </w:pPr>
            <w:r>
              <w:rPr>
                <w:sz w:val="19"/>
                <w:szCs w:val="19"/>
              </w:rPr>
              <w:t>A categorical indicator of relative pay built from country-specific quintiles of annual wages: very low, low, medium, high, or very high.</w:t>
            </w:r>
          </w:p>
        </w:tc>
      </w:tr>
      <w:tr w:rsidR="000409C7" w14:paraId="0305511F" w14:textId="77777777">
        <w:tblPrEx>
          <w:tblCellMar>
            <w:top w:w="0" w:type="dxa"/>
            <w:bottom w:w="0" w:type="dxa"/>
          </w:tblCellMar>
        </w:tblPrEx>
        <w:tc>
          <w:tcPr>
            <w:tcW w:w="2900" w:type="dxa"/>
            <w:shd w:val="clear" w:color="auto" w:fill="FFFFFF"/>
            <w:tcMar>
              <w:top w:w="60" w:type="dxa"/>
              <w:left w:w="120" w:type="dxa"/>
              <w:bottom w:w="60" w:type="dxa"/>
              <w:right w:w="120" w:type="dxa"/>
            </w:tcMar>
            <w:vAlign w:val="center"/>
          </w:tcPr>
          <w:p w14:paraId="5EC1FDD5" w14:textId="77777777" w:rsidR="000409C7" w:rsidRDefault="00155F50">
            <w:pPr>
              <w:spacing w:line="252" w:lineRule="auto"/>
            </w:pPr>
            <w:r>
              <w:rPr>
                <w:sz w:val="19"/>
                <w:szCs w:val="19"/>
              </w:rPr>
              <w:t>Annual wages</w:t>
            </w:r>
          </w:p>
        </w:tc>
        <w:tc>
          <w:tcPr>
            <w:tcW w:w="6460" w:type="dxa"/>
            <w:shd w:val="clear" w:color="auto" w:fill="FFFFFF"/>
            <w:tcMar>
              <w:top w:w="60" w:type="dxa"/>
              <w:left w:w="120" w:type="dxa"/>
              <w:bottom w:w="60" w:type="dxa"/>
              <w:right w:w="120" w:type="dxa"/>
            </w:tcMar>
            <w:vAlign w:val="center"/>
          </w:tcPr>
          <w:p w14:paraId="5333BDCD" w14:textId="77777777" w:rsidR="000409C7" w:rsidRDefault="00155F50">
            <w:pPr>
              <w:spacing w:line="252" w:lineRule="auto"/>
            </w:pPr>
            <w:r>
              <w:rPr>
                <w:sz w:val="19"/>
                <w:szCs w:val="19"/>
              </w:rPr>
              <w:t>Mean and median annual wages for workers with positive earnings, with the number of observations. Expressed in 2021 PPP terms.</w:t>
            </w:r>
          </w:p>
        </w:tc>
      </w:tr>
      <w:tr w:rsidR="000409C7" w14:paraId="5E4D263E" w14:textId="77777777">
        <w:tblPrEx>
          <w:tblCellMar>
            <w:top w:w="0" w:type="dxa"/>
            <w:bottom w:w="0" w:type="dxa"/>
          </w:tblCellMar>
        </w:tblPrEx>
        <w:tc>
          <w:tcPr>
            <w:tcW w:w="2900" w:type="dxa"/>
            <w:shd w:val="clear" w:color="auto" w:fill="EAF0FA"/>
            <w:tcMar>
              <w:top w:w="60" w:type="dxa"/>
              <w:left w:w="120" w:type="dxa"/>
              <w:bottom w:w="60" w:type="dxa"/>
              <w:right w:w="120" w:type="dxa"/>
            </w:tcMar>
            <w:vAlign w:val="center"/>
          </w:tcPr>
          <w:p w14:paraId="7E05B819" w14:textId="77777777" w:rsidR="000409C7" w:rsidRDefault="00155F50">
            <w:pPr>
              <w:spacing w:line="252" w:lineRule="auto"/>
            </w:pPr>
            <w:r>
              <w:rPr>
                <w:sz w:val="19"/>
                <w:szCs w:val="19"/>
              </w:rPr>
              <w:t>Hourly wages</w:t>
            </w:r>
          </w:p>
        </w:tc>
        <w:tc>
          <w:tcPr>
            <w:tcW w:w="6460" w:type="dxa"/>
            <w:shd w:val="clear" w:color="auto" w:fill="EAF0FA"/>
            <w:tcMar>
              <w:top w:w="60" w:type="dxa"/>
              <w:left w:w="120" w:type="dxa"/>
              <w:bottom w:w="60" w:type="dxa"/>
              <w:right w:w="120" w:type="dxa"/>
            </w:tcMar>
            <w:vAlign w:val="center"/>
          </w:tcPr>
          <w:p w14:paraId="3C748CDF" w14:textId="77777777" w:rsidR="000409C7" w:rsidRDefault="00155F50">
            <w:pPr>
              <w:spacing w:line="252" w:lineRule="auto"/>
            </w:pPr>
            <w:r>
              <w:rPr>
                <w:sz w:val="19"/>
                <w:szCs w:val="19"/>
              </w:rPr>
              <w:t>Mean and median hourly wages for workers with positive earnings, with the number of observations. Expressed in 2021 PPP terms.</w:t>
            </w:r>
          </w:p>
        </w:tc>
      </w:tr>
      <w:tr w:rsidR="000409C7" w14:paraId="287DBE75" w14:textId="77777777">
        <w:tblPrEx>
          <w:tblCellMar>
            <w:top w:w="0" w:type="dxa"/>
            <w:bottom w:w="0" w:type="dxa"/>
          </w:tblCellMar>
        </w:tblPrEx>
        <w:tc>
          <w:tcPr>
            <w:tcW w:w="2900" w:type="dxa"/>
            <w:shd w:val="clear" w:color="auto" w:fill="FFFFFF"/>
            <w:tcMar>
              <w:top w:w="60" w:type="dxa"/>
              <w:left w:w="120" w:type="dxa"/>
              <w:bottom w:w="60" w:type="dxa"/>
              <w:right w:w="120" w:type="dxa"/>
            </w:tcMar>
            <w:vAlign w:val="center"/>
          </w:tcPr>
          <w:p w14:paraId="50C1138E" w14:textId="77777777" w:rsidR="000409C7" w:rsidRDefault="00155F50">
            <w:pPr>
              <w:spacing w:line="252" w:lineRule="auto"/>
            </w:pPr>
            <w:r>
              <w:rPr>
                <w:sz w:val="19"/>
                <w:szCs w:val="19"/>
              </w:rPr>
              <w:t>Total employment</w:t>
            </w:r>
          </w:p>
        </w:tc>
        <w:tc>
          <w:tcPr>
            <w:tcW w:w="6460" w:type="dxa"/>
            <w:shd w:val="clear" w:color="auto" w:fill="FFFFFF"/>
            <w:tcMar>
              <w:top w:w="60" w:type="dxa"/>
              <w:left w:w="120" w:type="dxa"/>
              <w:bottom w:w="60" w:type="dxa"/>
              <w:right w:w="120" w:type="dxa"/>
            </w:tcMar>
            <w:vAlign w:val="center"/>
          </w:tcPr>
          <w:p w14:paraId="1A18122B" w14:textId="77777777" w:rsidR="000409C7" w:rsidRDefault="00155F50">
            <w:pPr>
              <w:spacing w:line="252" w:lineRule="auto"/>
            </w:pPr>
            <w:r>
              <w:rPr>
                <w:sz w:val="19"/>
                <w:szCs w:val="19"/>
              </w:rPr>
              <w:t>Total number of employed workers in the occupation, as observed in the microdata.</w:t>
            </w:r>
          </w:p>
        </w:tc>
      </w:tr>
      <w:tr w:rsidR="000409C7" w14:paraId="732468CD" w14:textId="77777777">
        <w:tblPrEx>
          <w:tblCellMar>
            <w:top w:w="0" w:type="dxa"/>
            <w:bottom w:w="0" w:type="dxa"/>
          </w:tblCellMar>
        </w:tblPrEx>
        <w:tc>
          <w:tcPr>
            <w:tcW w:w="2900" w:type="dxa"/>
            <w:shd w:val="clear" w:color="auto" w:fill="EAF0FA"/>
            <w:tcMar>
              <w:top w:w="60" w:type="dxa"/>
              <w:left w:w="120" w:type="dxa"/>
              <w:bottom w:w="60" w:type="dxa"/>
              <w:right w:w="120" w:type="dxa"/>
            </w:tcMar>
            <w:vAlign w:val="center"/>
          </w:tcPr>
          <w:p w14:paraId="7B00693D" w14:textId="77777777" w:rsidR="000409C7" w:rsidRDefault="00155F50">
            <w:pPr>
              <w:spacing w:line="252" w:lineRule="auto"/>
            </w:pPr>
            <w:r>
              <w:rPr>
                <w:sz w:val="19"/>
                <w:szCs w:val="19"/>
              </w:rPr>
              <w:t>Share of self-employed workers</w:t>
            </w:r>
          </w:p>
        </w:tc>
        <w:tc>
          <w:tcPr>
            <w:tcW w:w="6460" w:type="dxa"/>
            <w:shd w:val="clear" w:color="auto" w:fill="EAF0FA"/>
            <w:tcMar>
              <w:top w:w="60" w:type="dxa"/>
              <w:left w:w="120" w:type="dxa"/>
              <w:bottom w:w="60" w:type="dxa"/>
              <w:right w:w="120" w:type="dxa"/>
            </w:tcMar>
            <w:vAlign w:val="center"/>
          </w:tcPr>
          <w:p w14:paraId="59D24816" w14:textId="77777777" w:rsidR="000409C7" w:rsidRDefault="00155F50">
            <w:pPr>
              <w:spacing w:line="252" w:lineRule="auto"/>
            </w:pPr>
            <w:r>
              <w:rPr>
                <w:sz w:val="19"/>
                <w:szCs w:val="19"/>
              </w:rPr>
              <w:t>Proportion of workers in the occupation classified as self-employed.</w:t>
            </w:r>
          </w:p>
        </w:tc>
      </w:tr>
      <w:tr w:rsidR="000409C7" w14:paraId="3896B180" w14:textId="77777777">
        <w:tblPrEx>
          <w:tblCellMar>
            <w:top w:w="0" w:type="dxa"/>
            <w:bottom w:w="0" w:type="dxa"/>
          </w:tblCellMar>
        </w:tblPrEx>
        <w:tc>
          <w:tcPr>
            <w:tcW w:w="2900" w:type="dxa"/>
            <w:shd w:val="clear" w:color="auto" w:fill="FFFFFF"/>
            <w:tcMar>
              <w:top w:w="60" w:type="dxa"/>
              <w:left w:w="120" w:type="dxa"/>
              <w:bottom w:w="60" w:type="dxa"/>
              <w:right w:w="120" w:type="dxa"/>
            </w:tcMar>
            <w:vAlign w:val="center"/>
          </w:tcPr>
          <w:p w14:paraId="56D5877E" w14:textId="77777777" w:rsidR="000409C7" w:rsidRDefault="00155F50">
            <w:pPr>
              <w:spacing w:line="252" w:lineRule="auto"/>
            </w:pPr>
            <w:r>
              <w:rPr>
                <w:sz w:val="19"/>
                <w:szCs w:val="19"/>
              </w:rPr>
              <w:t>Share of unpaid workers</w:t>
            </w:r>
          </w:p>
        </w:tc>
        <w:tc>
          <w:tcPr>
            <w:tcW w:w="6460" w:type="dxa"/>
            <w:shd w:val="clear" w:color="auto" w:fill="FFFFFF"/>
            <w:tcMar>
              <w:top w:w="60" w:type="dxa"/>
              <w:left w:w="120" w:type="dxa"/>
              <w:bottom w:w="60" w:type="dxa"/>
              <w:right w:w="120" w:type="dxa"/>
            </w:tcMar>
            <w:vAlign w:val="center"/>
          </w:tcPr>
          <w:p w14:paraId="58BBD2E6" w14:textId="77777777" w:rsidR="000409C7" w:rsidRDefault="00155F50">
            <w:pPr>
              <w:spacing w:line="252" w:lineRule="auto"/>
            </w:pPr>
            <w:r>
              <w:rPr>
                <w:sz w:val="19"/>
                <w:szCs w:val="19"/>
              </w:rPr>
              <w:t>Proportion of workers in unpaid employment, where identifiable in the survey.</w:t>
            </w:r>
          </w:p>
        </w:tc>
      </w:tr>
      <w:tr w:rsidR="000409C7" w14:paraId="37B49864" w14:textId="77777777">
        <w:tblPrEx>
          <w:tblCellMar>
            <w:top w:w="0" w:type="dxa"/>
            <w:bottom w:w="0" w:type="dxa"/>
          </w:tblCellMar>
        </w:tblPrEx>
        <w:tc>
          <w:tcPr>
            <w:tcW w:w="2900" w:type="dxa"/>
            <w:shd w:val="clear" w:color="auto" w:fill="EAF0FA"/>
            <w:tcMar>
              <w:top w:w="60" w:type="dxa"/>
              <w:left w:w="120" w:type="dxa"/>
              <w:bottom w:w="60" w:type="dxa"/>
              <w:right w:w="120" w:type="dxa"/>
            </w:tcMar>
            <w:vAlign w:val="center"/>
          </w:tcPr>
          <w:p w14:paraId="08243D37" w14:textId="77777777" w:rsidR="000409C7" w:rsidRDefault="00155F50">
            <w:pPr>
              <w:spacing w:line="252" w:lineRule="auto"/>
            </w:pPr>
            <w:r>
              <w:rPr>
                <w:sz w:val="19"/>
                <w:szCs w:val="19"/>
              </w:rPr>
              <w:t>Informality rate</w:t>
            </w:r>
          </w:p>
        </w:tc>
        <w:tc>
          <w:tcPr>
            <w:tcW w:w="6460" w:type="dxa"/>
            <w:shd w:val="clear" w:color="auto" w:fill="EAF0FA"/>
            <w:tcMar>
              <w:top w:w="60" w:type="dxa"/>
              <w:left w:w="120" w:type="dxa"/>
              <w:bottom w:w="60" w:type="dxa"/>
              <w:right w:w="120" w:type="dxa"/>
            </w:tcMar>
            <w:vAlign w:val="center"/>
          </w:tcPr>
          <w:p w14:paraId="714D25EB" w14:textId="77777777" w:rsidR="000409C7" w:rsidRDefault="00155F50">
            <w:pPr>
              <w:spacing w:line="252" w:lineRule="auto"/>
            </w:pPr>
            <w:r>
              <w:rPr>
                <w:sz w:val="19"/>
                <w:szCs w:val="19"/>
              </w:rPr>
              <w:t>Share of informal employment in the occupation, constructed using country-specific definitions and variables (e.g., in Bangladesh, wage employees without a labor contract).</w:t>
            </w:r>
          </w:p>
        </w:tc>
      </w:tr>
      <w:tr w:rsidR="000409C7" w14:paraId="0B731C91" w14:textId="77777777">
        <w:tblPrEx>
          <w:tblCellMar>
            <w:top w:w="0" w:type="dxa"/>
            <w:bottom w:w="0" w:type="dxa"/>
          </w:tblCellMar>
        </w:tblPrEx>
        <w:tc>
          <w:tcPr>
            <w:tcW w:w="2900" w:type="dxa"/>
            <w:shd w:val="clear" w:color="auto" w:fill="FFFFFF"/>
            <w:tcMar>
              <w:top w:w="60" w:type="dxa"/>
              <w:left w:w="120" w:type="dxa"/>
              <w:bottom w:w="60" w:type="dxa"/>
              <w:right w:w="120" w:type="dxa"/>
            </w:tcMar>
            <w:vAlign w:val="center"/>
          </w:tcPr>
          <w:p w14:paraId="2646FD16" w14:textId="77777777" w:rsidR="000409C7" w:rsidRDefault="00155F50">
            <w:pPr>
              <w:spacing w:line="252" w:lineRule="auto"/>
            </w:pPr>
            <w:r>
              <w:rPr>
                <w:sz w:val="19"/>
                <w:szCs w:val="19"/>
              </w:rPr>
              <w:t>Skill category</w:t>
            </w:r>
          </w:p>
        </w:tc>
        <w:tc>
          <w:tcPr>
            <w:tcW w:w="6460" w:type="dxa"/>
            <w:shd w:val="clear" w:color="auto" w:fill="FFFFFF"/>
            <w:tcMar>
              <w:top w:w="60" w:type="dxa"/>
              <w:left w:w="120" w:type="dxa"/>
              <w:bottom w:w="60" w:type="dxa"/>
              <w:right w:w="120" w:type="dxa"/>
            </w:tcMar>
            <w:vAlign w:val="center"/>
          </w:tcPr>
          <w:p w14:paraId="0C67F6C8" w14:textId="77777777" w:rsidR="000409C7" w:rsidRDefault="00155F50">
            <w:pPr>
              <w:spacing w:line="252" w:lineRule="auto"/>
            </w:pPr>
            <w:r>
              <w:rPr>
                <w:sz w:val="19"/>
                <w:szCs w:val="19"/>
              </w:rPr>
              <w:t>Broad skill grouping from ISCO major groups: high-skill (groups 1–3), medium-skill (groups 4–8), low-skill (group 9).</w:t>
            </w:r>
          </w:p>
        </w:tc>
      </w:tr>
    </w:tbl>
    <w:p w14:paraId="5A1BAC35" w14:textId="77777777" w:rsidR="000409C7" w:rsidRDefault="00155F50">
      <w:pPr>
        <w:pStyle w:val="Heading1"/>
      </w:pPr>
      <w:bookmarkStart w:id="30" w:name="_Toc232635711"/>
      <w:r>
        <w:t>Annex C. Enrichment Definitions (GOSC Reference Fields)</w:t>
      </w:r>
      <w:bookmarkEnd w:id="30"/>
    </w:p>
    <w:p w14:paraId="72AA5CAB" w14:textId="77777777" w:rsidR="000409C7" w:rsidRDefault="00155F50">
      <w:pPr>
        <w:spacing w:after="160" w:line="276" w:lineRule="auto"/>
      </w:pPr>
      <w:r>
        <w:t>The referential fields linked from the GOSC use standardized U.S. definitions. This annex summarizes the categories used for entry-level education, on-the-job (OTJ) training, the composite delivery method, and the skills measures.</w:t>
      </w:r>
    </w:p>
    <w:p w14:paraId="0CB21026" w14:textId="77777777" w:rsidR="000409C7" w:rsidRDefault="00155F50">
      <w:pPr>
        <w:pStyle w:val="Heading2"/>
      </w:pPr>
      <w:bookmarkStart w:id="31" w:name="_Toc232635712"/>
      <w:r>
        <w:t>C.1. Entry-level education and OTJ training categories</w:t>
      </w:r>
      <w:bookmarkEnd w:id="31"/>
    </w:p>
    <w:p w14:paraId="26223761" w14:textId="77777777" w:rsidR="000409C7" w:rsidRDefault="00155F50">
      <w:pPr>
        <w:spacing w:before="160" w:after="80"/>
      </w:pPr>
      <w:r>
        <w:rPr>
          <w:b/>
          <w:bCs/>
          <w:color w:val="1F3864"/>
          <w:sz w:val="20"/>
          <w:szCs w:val="20"/>
        </w:rPr>
        <w:t>Table C1. Entry-level education and on-the-job training categories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0409C7" w14:paraId="75294BAE" w14:textId="77777777">
        <w:tblPrEx>
          <w:tblCellMar>
            <w:top w:w="0" w:type="dxa"/>
            <w:bottom w:w="0" w:type="dxa"/>
          </w:tblCellMar>
        </w:tblPrEx>
        <w:trPr>
          <w:tblHeader/>
        </w:trPr>
        <w:tc>
          <w:tcPr>
            <w:tcW w:w="4680" w:type="dxa"/>
            <w:shd w:val="clear" w:color="auto" w:fill="1F3864"/>
            <w:tcMar>
              <w:top w:w="60" w:type="dxa"/>
              <w:left w:w="120" w:type="dxa"/>
              <w:bottom w:w="60" w:type="dxa"/>
              <w:right w:w="120" w:type="dxa"/>
            </w:tcMar>
            <w:vAlign w:val="center"/>
          </w:tcPr>
          <w:p w14:paraId="09B35936" w14:textId="77777777" w:rsidR="000409C7" w:rsidRDefault="00155F50">
            <w:r>
              <w:rPr>
                <w:b/>
                <w:bCs/>
                <w:color w:val="FFFFFF"/>
                <w:sz w:val="19"/>
                <w:szCs w:val="19"/>
              </w:rPr>
              <w:t>Entry-level education requirement</w:t>
            </w:r>
          </w:p>
        </w:tc>
        <w:tc>
          <w:tcPr>
            <w:tcW w:w="4680" w:type="dxa"/>
            <w:shd w:val="clear" w:color="auto" w:fill="1F3864"/>
            <w:tcMar>
              <w:top w:w="60" w:type="dxa"/>
              <w:left w:w="120" w:type="dxa"/>
              <w:bottom w:w="60" w:type="dxa"/>
              <w:right w:w="120" w:type="dxa"/>
            </w:tcMar>
            <w:vAlign w:val="center"/>
          </w:tcPr>
          <w:p w14:paraId="40721F58" w14:textId="77777777" w:rsidR="000409C7" w:rsidRDefault="00155F50">
            <w:r>
              <w:rPr>
                <w:b/>
                <w:bCs/>
                <w:color w:val="FFFFFF"/>
                <w:sz w:val="19"/>
                <w:szCs w:val="19"/>
              </w:rPr>
              <w:t>On-the-job (OTJ) training</w:t>
            </w:r>
          </w:p>
        </w:tc>
      </w:tr>
      <w:tr w:rsidR="000409C7" w14:paraId="3524A079" w14:textId="77777777">
        <w:tblPrEx>
          <w:tblCellMar>
            <w:top w:w="0" w:type="dxa"/>
            <w:bottom w:w="0" w:type="dxa"/>
          </w:tblCellMar>
        </w:tblPrEx>
        <w:tc>
          <w:tcPr>
            <w:tcW w:w="4680" w:type="dxa"/>
            <w:shd w:val="clear" w:color="auto" w:fill="FFFFFF"/>
            <w:tcMar>
              <w:top w:w="60" w:type="dxa"/>
              <w:left w:w="120" w:type="dxa"/>
              <w:bottom w:w="60" w:type="dxa"/>
              <w:right w:w="120" w:type="dxa"/>
            </w:tcMar>
            <w:vAlign w:val="center"/>
          </w:tcPr>
          <w:p w14:paraId="4C4954CF" w14:textId="77777777" w:rsidR="000409C7" w:rsidRDefault="00155F50">
            <w:pPr>
              <w:spacing w:line="252" w:lineRule="auto"/>
            </w:pPr>
            <w:r>
              <w:rPr>
                <w:sz w:val="19"/>
                <w:szCs w:val="19"/>
              </w:rPr>
              <w:t>No formal educational credential</w:t>
            </w:r>
          </w:p>
        </w:tc>
        <w:tc>
          <w:tcPr>
            <w:tcW w:w="4680" w:type="dxa"/>
            <w:shd w:val="clear" w:color="auto" w:fill="FFFFFF"/>
            <w:tcMar>
              <w:top w:w="60" w:type="dxa"/>
              <w:left w:w="120" w:type="dxa"/>
              <w:bottom w:w="60" w:type="dxa"/>
              <w:right w:w="120" w:type="dxa"/>
            </w:tcMar>
            <w:vAlign w:val="center"/>
          </w:tcPr>
          <w:p w14:paraId="34477A1E" w14:textId="77777777" w:rsidR="000409C7" w:rsidRDefault="00155F50">
            <w:pPr>
              <w:spacing w:line="252" w:lineRule="auto"/>
            </w:pPr>
            <w:r>
              <w:rPr>
                <w:sz w:val="19"/>
                <w:szCs w:val="19"/>
              </w:rPr>
              <w:t>Apprenticeship</w:t>
            </w:r>
          </w:p>
        </w:tc>
      </w:tr>
      <w:tr w:rsidR="000409C7" w14:paraId="57384D83" w14:textId="77777777">
        <w:tblPrEx>
          <w:tblCellMar>
            <w:top w:w="0" w:type="dxa"/>
            <w:bottom w:w="0" w:type="dxa"/>
          </w:tblCellMar>
        </w:tblPrEx>
        <w:tc>
          <w:tcPr>
            <w:tcW w:w="4680" w:type="dxa"/>
            <w:shd w:val="clear" w:color="auto" w:fill="EAF0FA"/>
            <w:tcMar>
              <w:top w:w="60" w:type="dxa"/>
              <w:left w:w="120" w:type="dxa"/>
              <w:bottom w:w="60" w:type="dxa"/>
              <w:right w:w="120" w:type="dxa"/>
            </w:tcMar>
            <w:vAlign w:val="center"/>
          </w:tcPr>
          <w:p w14:paraId="592D180C" w14:textId="77777777" w:rsidR="000409C7" w:rsidRDefault="00155F50">
            <w:pPr>
              <w:spacing w:line="252" w:lineRule="auto"/>
            </w:pPr>
            <w:r>
              <w:rPr>
                <w:sz w:val="19"/>
                <w:szCs w:val="19"/>
              </w:rPr>
              <w:t>High school diploma or equivalent</w:t>
            </w:r>
          </w:p>
        </w:tc>
        <w:tc>
          <w:tcPr>
            <w:tcW w:w="4680" w:type="dxa"/>
            <w:shd w:val="clear" w:color="auto" w:fill="EAF0FA"/>
            <w:tcMar>
              <w:top w:w="60" w:type="dxa"/>
              <w:left w:w="120" w:type="dxa"/>
              <w:bottom w:w="60" w:type="dxa"/>
              <w:right w:w="120" w:type="dxa"/>
            </w:tcMar>
            <w:vAlign w:val="center"/>
          </w:tcPr>
          <w:p w14:paraId="32007940" w14:textId="77777777" w:rsidR="000409C7" w:rsidRDefault="00155F50">
            <w:pPr>
              <w:spacing w:line="252" w:lineRule="auto"/>
            </w:pPr>
            <w:r>
              <w:rPr>
                <w:sz w:val="19"/>
                <w:szCs w:val="19"/>
              </w:rPr>
              <w:t>Internship / Residency</w:t>
            </w:r>
          </w:p>
        </w:tc>
      </w:tr>
      <w:tr w:rsidR="000409C7" w14:paraId="19376F8B" w14:textId="77777777">
        <w:tblPrEx>
          <w:tblCellMar>
            <w:top w:w="0" w:type="dxa"/>
            <w:bottom w:w="0" w:type="dxa"/>
          </w:tblCellMar>
        </w:tblPrEx>
        <w:tc>
          <w:tcPr>
            <w:tcW w:w="4680" w:type="dxa"/>
            <w:shd w:val="clear" w:color="auto" w:fill="FFFFFF"/>
            <w:tcMar>
              <w:top w:w="60" w:type="dxa"/>
              <w:left w:w="120" w:type="dxa"/>
              <w:bottom w:w="60" w:type="dxa"/>
              <w:right w:w="120" w:type="dxa"/>
            </w:tcMar>
            <w:vAlign w:val="center"/>
          </w:tcPr>
          <w:p w14:paraId="26027C73" w14:textId="77777777" w:rsidR="000409C7" w:rsidRDefault="00155F50">
            <w:pPr>
              <w:spacing w:line="252" w:lineRule="auto"/>
            </w:pPr>
            <w:r>
              <w:rPr>
                <w:sz w:val="19"/>
                <w:szCs w:val="19"/>
              </w:rPr>
              <w:t>Postsecondary nondegree award</w:t>
            </w:r>
          </w:p>
        </w:tc>
        <w:tc>
          <w:tcPr>
            <w:tcW w:w="4680" w:type="dxa"/>
            <w:shd w:val="clear" w:color="auto" w:fill="FFFFFF"/>
            <w:tcMar>
              <w:top w:w="60" w:type="dxa"/>
              <w:left w:w="120" w:type="dxa"/>
              <w:bottom w:w="60" w:type="dxa"/>
              <w:right w:w="120" w:type="dxa"/>
            </w:tcMar>
            <w:vAlign w:val="center"/>
          </w:tcPr>
          <w:p w14:paraId="486D03CB" w14:textId="77777777" w:rsidR="000409C7" w:rsidRDefault="00155F50">
            <w:pPr>
              <w:spacing w:line="252" w:lineRule="auto"/>
            </w:pPr>
            <w:r>
              <w:rPr>
                <w:sz w:val="19"/>
                <w:szCs w:val="19"/>
              </w:rPr>
              <w:t>Long-term on-the-job training</w:t>
            </w:r>
          </w:p>
        </w:tc>
      </w:tr>
      <w:tr w:rsidR="000409C7" w14:paraId="2EA47DFB" w14:textId="77777777">
        <w:tblPrEx>
          <w:tblCellMar>
            <w:top w:w="0" w:type="dxa"/>
            <w:bottom w:w="0" w:type="dxa"/>
          </w:tblCellMar>
        </w:tblPrEx>
        <w:tc>
          <w:tcPr>
            <w:tcW w:w="4680" w:type="dxa"/>
            <w:shd w:val="clear" w:color="auto" w:fill="EAF0FA"/>
            <w:tcMar>
              <w:top w:w="60" w:type="dxa"/>
              <w:left w:w="120" w:type="dxa"/>
              <w:bottom w:w="60" w:type="dxa"/>
              <w:right w:w="120" w:type="dxa"/>
            </w:tcMar>
            <w:vAlign w:val="center"/>
          </w:tcPr>
          <w:p w14:paraId="7EBEF771" w14:textId="77777777" w:rsidR="000409C7" w:rsidRDefault="00155F50">
            <w:pPr>
              <w:spacing w:line="252" w:lineRule="auto"/>
            </w:pPr>
            <w:r>
              <w:rPr>
                <w:sz w:val="19"/>
                <w:szCs w:val="19"/>
              </w:rPr>
              <w:t>Some college, no degree</w:t>
            </w:r>
          </w:p>
        </w:tc>
        <w:tc>
          <w:tcPr>
            <w:tcW w:w="4680" w:type="dxa"/>
            <w:shd w:val="clear" w:color="auto" w:fill="EAF0FA"/>
            <w:tcMar>
              <w:top w:w="60" w:type="dxa"/>
              <w:left w:w="120" w:type="dxa"/>
              <w:bottom w:w="60" w:type="dxa"/>
              <w:right w:w="120" w:type="dxa"/>
            </w:tcMar>
            <w:vAlign w:val="center"/>
          </w:tcPr>
          <w:p w14:paraId="7F27A2FB" w14:textId="77777777" w:rsidR="000409C7" w:rsidRDefault="00155F50">
            <w:pPr>
              <w:spacing w:line="252" w:lineRule="auto"/>
            </w:pPr>
            <w:r>
              <w:rPr>
                <w:sz w:val="19"/>
                <w:szCs w:val="19"/>
              </w:rPr>
              <w:t>Moderate-term on-the-job training</w:t>
            </w:r>
          </w:p>
        </w:tc>
      </w:tr>
      <w:tr w:rsidR="000409C7" w14:paraId="57C3E46B" w14:textId="77777777">
        <w:tblPrEx>
          <w:tblCellMar>
            <w:top w:w="0" w:type="dxa"/>
            <w:bottom w:w="0" w:type="dxa"/>
          </w:tblCellMar>
        </w:tblPrEx>
        <w:tc>
          <w:tcPr>
            <w:tcW w:w="4680" w:type="dxa"/>
            <w:shd w:val="clear" w:color="auto" w:fill="FFFFFF"/>
            <w:tcMar>
              <w:top w:w="60" w:type="dxa"/>
              <w:left w:w="120" w:type="dxa"/>
              <w:bottom w:w="60" w:type="dxa"/>
              <w:right w:w="120" w:type="dxa"/>
            </w:tcMar>
            <w:vAlign w:val="center"/>
          </w:tcPr>
          <w:p w14:paraId="7781D754" w14:textId="77777777" w:rsidR="000409C7" w:rsidRDefault="00155F50">
            <w:pPr>
              <w:spacing w:line="252" w:lineRule="auto"/>
            </w:pPr>
            <w:r>
              <w:rPr>
                <w:sz w:val="19"/>
                <w:szCs w:val="19"/>
              </w:rPr>
              <w:t>Associate’s degree</w:t>
            </w:r>
          </w:p>
        </w:tc>
        <w:tc>
          <w:tcPr>
            <w:tcW w:w="4680" w:type="dxa"/>
            <w:shd w:val="clear" w:color="auto" w:fill="FFFFFF"/>
            <w:tcMar>
              <w:top w:w="60" w:type="dxa"/>
              <w:left w:w="120" w:type="dxa"/>
              <w:bottom w:w="60" w:type="dxa"/>
              <w:right w:w="120" w:type="dxa"/>
            </w:tcMar>
            <w:vAlign w:val="center"/>
          </w:tcPr>
          <w:p w14:paraId="4B2EA6DA" w14:textId="77777777" w:rsidR="000409C7" w:rsidRDefault="00155F50">
            <w:pPr>
              <w:spacing w:line="252" w:lineRule="auto"/>
            </w:pPr>
            <w:r>
              <w:rPr>
                <w:sz w:val="19"/>
                <w:szCs w:val="19"/>
              </w:rPr>
              <w:t>Short-term on-the-job training</w:t>
            </w:r>
          </w:p>
        </w:tc>
      </w:tr>
      <w:tr w:rsidR="000409C7" w14:paraId="637311D1" w14:textId="77777777">
        <w:tblPrEx>
          <w:tblCellMar>
            <w:top w:w="0" w:type="dxa"/>
            <w:bottom w:w="0" w:type="dxa"/>
          </w:tblCellMar>
        </w:tblPrEx>
        <w:tc>
          <w:tcPr>
            <w:tcW w:w="4680" w:type="dxa"/>
            <w:shd w:val="clear" w:color="auto" w:fill="EAF0FA"/>
            <w:tcMar>
              <w:top w:w="60" w:type="dxa"/>
              <w:left w:w="120" w:type="dxa"/>
              <w:bottom w:w="60" w:type="dxa"/>
              <w:right w:w="120" w:type="dxa"/>
            </w:tcMar>
            <w:vAlign w:val="center"/>
          </w:tcPr>
          <w:p w14:paraId="111EB3F1" w14:textId="77777777" w:rsidR="000409C7" w:rsidRDefault="00155F50">
            <w:pPr>
              <w:spacing w:line="252" w:lineRule="auto"/>
            </w:pPr>
            <w:r>
              <w:rPr>
                <w:sz w:val="19"/>
                <w:szCs w:val="19"/>
              </w:rPr>
              <w:t>Bachelor’s degree</w:t>
            </w:r>
          </w:p>
        </w:tc>
        <w:tc>
          <w:tcPr>
            <w:tcW w:w="4680" w:type="dxa"/>
            <w:shd w:val="clear" w:color="auto" w:fill="EAF0FA"/>
            <w:tcMar>
              <w:top w:w="60" w:type="dxa"/>
              <w:left w:w="120" w:type="dxa"/>
              <w:bottom w:w="60" w:type="dxa"/>
              <w:right w:w="120" w:type="dxa"/>
            </w:tcMar>
            <w:vAlign w:val="center"/>
          </w:tcPr>
          <w:p w14:paraId="61E9DA93" w14:textId="77777777" w:rsidR="000409C7" w:rsidRDefault="00155F50">
            <w:pPr>
              <w:spacing w:line="252" w:lineRule="auto"/>
            </w:pPr>
            <w:r>
              <w:rPr>
                <w:sz w:val="19"/>
                <w:szCs w:val="19"/>
              </w:rPr>
              <w:t>None</w:t>
            </w:r>
          </w:p>
        </w:tc>
      </w:tr>
      <w:tr w:rsidR="000409C7" w14:paraId="33E517F6" w14:textId="77777777">
        <w:tblPrEx>
          <w:tblCellMar>
            <w:top w:w="0" w:type="dxa"/>
            <w:bottom w:w="0" w:type="dxa"/>
          </w:tblCellMar>
        </w:tblPrEx>
        <w:tc>
          <w:tcPr>
            <w:tcW w:w="4680" w:type="dxa"/>
            <w:shd w:val="clear" w:color="auto" w:fill="FFFFFF"/>
            <w:tcMar>
              <w:top w:w="60" w:type="dxa"/>
              <w:left w:w="120" w:type="dxa"/>
              <w:bottom w:w="60" w:type="dxa"/>
              <w:right w:w="120" w:type="dxa"/>
            </w:tcMar>
            <w:vAlign w:val="center"/>
          </w:tcPr>
          <w:p w14:paraId="507F65A7" w14:textId="77777777" w:rsidR="000409C7" w:rsidRDefault="00155F50">
            <w:pPr>
              <w:spacing w:line="252" w:lineRule="auto"/>
            </w:pPr>
            <w:r>
              <w:rPr>
                <w:sz w:val="19"/>
                <w:szCs w:val="19"/>
              </w:rPr>
              <w:t>Master’s degree</w:t>
            </w:r>
          </w:p>
        </w:tc>
        <w:tc>
          <w:tcPr>
            <w:tcW w:w="4680" w:type="dxa"/>
            <w:shd w:val="clear" w:color="auto" w:fill="FFFFFF"/>
            <w:tcMar>
              <w:top w:w="60" w:type="dxa"/>
              <w:left w:w="120" w:type="dxa"/>
              <w:bottom w:w="60" w:type="dxa"/>
              <w:right w:w="120" w:type="dxa"/>
            </w:tcMar>
            <w:vAlign w:val="center"/>
          </w:tcPr>
          <w:p w14:paraId="426B92A2" w14:textId="77777777" w:rsidR="000409C7" w:rsidRDefault="00155F50">
            <w:pPr>
              <w:spacing w:line="252" w:lineRule="auto"/>
            </w:pPr>
            <w:r>
              <w:rPr>
                <w:sz w:val="19"/>
                <w:szCs w:val="19"/>
              </w:rPr>
              <w:t>—</w:t>
            </w:r>
          </w:p>
        </w:tc>
      </w:tr>
      <w:tr w:rsidR="000409C7" w14:paraId="265E0671" w14:textId="77777777">
        <w:tblPrEx>
          <w:tblCellMar>
            <w:top w:w="0" w:type="dxa"/>
            <w:bottom w:w="0" w:type="dxa"/>
          </w:tblCellMar>
        </w:tblPrEx>
        <w:tc>
          <w:tcPr>
            <w:tcW w:w="4680" w:type="dxa"/>
            <w:shd w:val="clear" w:color="auto" w:fill="EAF0FA"/>
            <w:tcMar>
              <w:top w:w="60" w:type="dxa"/>
              <w:left w:w="120" w:type="dxa"/>
              <w:bottom w:w="60" w:type="dxa"/>
              <w:right w:w="120" w:type="dxa"/>
            </w:tcMar>
            <w:vAlign w:val="center"/>
          </w:tcPr>
          <w:p w14:paraId="76D4FA4D" w14:textId="77777777" w:rsidR="000409C7" w:rsidRDefault="00155F50">
            <w:pPr>
              <w:spacing w:line="252" w:lineRule="auto"/>
            </w:pPr>
            <w:r>
              <w:rPr>
                <w:sz w:val="19"/>
                <w:szCs w:val="19"/>
              </w:rPr>
              <w:t>Doctoral or professional degree</w:t>
            </w:r>
          </w:p>
        </w:tc>
        <w:tc>
          <w:tcPr>
            <w:tcW w:w="4680" w:type="dxa"/>
            <w:shd w:val="clear" w:color="auto" w:fill="EAF0FA"/>
            <w:tcMar>
              <w:top w:w="60" w:type="dxa"/>
              <w:left w:w="120" w:type="dxa"/>
              <w:bottom w:w="60" w:type="dxa"/>
              <w:right w:w="120" w:type="dxa"/>
            </w:tcMar>
            <w:vAlign w:val="center"/>
          </w:tcPr>
          <w:p w14:paraId="6393562E" w14:textId="77777777" w:rsidR="000409C7" w:rsidRDefault="00155F50">
            <w:pPr>
              <w:spacing w:line="252" w:lineRule="auto"/>
            </w:pPr>
            <w:r>
              <w:rPr>
                <w:sz w:val="19"/>
                <w:szCs w:val="19"/>
              </w:rPr>
              <w:t>—</w:t>
            </w:r>
          </w:p>
        </w:tc>
      </w:tr>
    </w:tbl>
    <w:p w14:paraId="0029EDD4" w14:textId="77777777" w:rsidR="000409C7" w:rsidRDefault="00155F50">
      <w:pPr>
        <w:spacing w:before="60" w:after="200"/>
      </w:pPr>
      <w:r>
        <w:rPr>
          <w:i/>
          <w:iCs/>
          <w:color w:val="595959"/>
          <w:sz w:val="17"/>
          <w:szCs w:val="17"/>
        </w:rPr>
        <w:t>OTJ training, in brief: Apprenticeship combines on-the-job training with occupation-specific technical instruction (typically ≥144 hours of instruction and ≈2,000 hours of OTJ per year over 3–5 years). Internship/Residency is structured, supervised training for entry into an occupation. Long-term OTJ exceeds 12 months; moderate-term OTJ is from one month up to 12 months; short-term OTJ is one month or less.</w:t>
      </w:r>
    </w:p>
    <w:p w14:paraId="63958A26" w14:textId="77777777" w:rsidR="000409C7" w:rsidRDefault="00155F50">
      <w:pPr>
        <w:pStyle w:val="Heading2"/>
      </w:pPr>
      <w:bookmarkStart w:id="32" w:name="_Toc232635713"/>
      <w:r>
        <w:t>C.2. Composite “delivery method”</w:t>
      </w:r>
      <w:bookmarkEnd w:id="32"/>
    </w:p>
    <w:p w14:paraId="7AE1AD1E" w14:textId="77777777" w:rsidR="000409C7" w:rsidRDefault="00155F50">
      <w:pPr>
        <w:spacing w:after="160" w:line="276" w:lineRule="auto"/>
      </w:pPr>
      <w:r>
        <w:t>The delivery method summarizes how skills are typically acquired by combining entry-level education — grouped into no formal education, formal non-tertiary education, and formal tertiary education — with a binary indicator of whether any OTJ training is required. This yields six mutually exclusive categories:</w:t>
      </w:r>
    </w:p>
    <w:p w14:paraId="3EBB53E8" w14:textId="77777777" w:rsidR="000409C7" w:rsidRDefault="00155F50">
      <w:pPr>
        <w:pStyle w:val="ListParagraph"/>
        <w:numPr>
          <w:ilvl w:val="0"/>
          <w:numId w:val="3"/>
        </w:numPr>
        <w:spacing w:after="80" w:line="276" w:lineRule="auto"/>
      </w:pPr>
      <w:r>
        <w:t>None / non-formal lifelong training — no formal education and no OTJ training.</w:t>
      </w:r>
    </w:p>
    <w:p w14:paraId="338EB66F" w14:textId="77777777" w:rsidR="000409C7" w:rsidRDefault="00155F50">
      <w:pPr>
        <w:pStyle w:val="ListParagraph"/>
        <w:numPr>
          <w:ilvl w:val="0"/>
          <w:numId w:val="3"/>
        </w:numPr>
        <w:spacing w:after="80" w:line="276" w:lineRule="auto"/>
      </w:pPr>
      <w:r>
        <w:t>Industry-led OTJ training — no formal education and any OTJ training.</w:t>
      </w:r>
    </w:p>
    <w:p w14:paraId="04F9A149" w14:textId="77777777" w:rsidR="000409C7" w:rsidRDefault="00155F50">
      <w:pPr>
        <w:pStyle w:val="ListParagraph"/>
        <w:numPr>
          <w:ilvl w:val="0"/>
          <w:numId w:val="3"/>
        </w:numPr>
        <w:spacing w:after="80" w:line="276" w:lineRule="auto"/>
      </w:pPr>
      <w:r>
        <w:t>Formal non-tertiary education combined with industry-led OTJ training.</w:t>
      </w:r>
    </w:p>
    <w:p w14:paraId="77AD22A4" w14:textId="77777777" w:rsidR="000409C7" w:rsidRDefault="00155F50">
      <w:pPr>
        <w:pStyle w:val="ListParagraph"/>
        <w:numPr>
          <w:ilvl w:val="0"/>
          <w:numId w:val="3"/>
        </w:numPr>
        <w:spacing w:after="80" w:line="276" w:lineRule="auto"/>
      </w:pPr>
      <w:r>
        <w:t>Formal non-tertiary education only — no OTJ training.</w:t>
      </w:r>
    </w:p>
    <w:p w14:paraId="4816E577" w14:textId="77777777" w:rsidR="000409C7" w:rsidRDefault="00155F50">
      <w:pPr>
        <w:pStyle w:val="ListParagraph"/>
        <w:numPr>
          <w:ilvl w:val="0"/>
          <w:numId w:val="3"/>
        </w:numPr>
        <w:spacing w:after="80" w:line="276" w:lineRule="auto"/>
      </w:pPr>
      <w:r>
        <w:t>Formal tertiary education combined with industry-led OTJ training.</w:t>
      </w:r>
    </w:p>
    <w:p w14:paraId="316DD1AF" w14:textId="77777777" w:rsidR="000409C7" w:rsidRDefault="00155F50">
      <w:pPr>
        <w:pStyle w:val="ListParagraph"/>
        <w:numPr>
          <w:ilvl w:val="0"/>
          <w:numId w:val="3"/>
        </w:numPr>
        <w:spacing w:after="80" w:line="276" w:lineRule="auto"/>
      </w:pPr>
      <w:r>
        <w:t>Formal tertiary education only — no OTJ training.</w:t>
      </w:r>
    </w:p>
    <w:p w14:paraId="5D11FD0A" w14:textId="77777777" w:rsidR="000409C7" w:rsidRDefault="00155F50">
      <w:pPr>
        <w:pStyle w:val="Heading2"/>
      </w:pPr>
      <w:bookmarkStart w:id="33" w:name="_Toc232635714"/>
      <w:r>
        <w:t>C.3. Skills measures</w:t>
      </w:r>
      <w:bookmarkEnd w:id="33"/>
    </w:p>
    <w:p w14:paraId="16255A01" w14:textId="77777777" w:rsidR="000409C7" w:rsidRDefault="00155F50">
      <w:pPr>
        <w:spacing w:after="160" w:line="276" w:lineRule="auto"/>
      </w:pPr>
      <w:r>
        <w:t xml:space="preserve">For each occupation, the reference framework reports two complementary skill measures across cognitive, technical, and interpersonal domains: </w:t>
      </w:r>
      <w:r>
        <w:rPr>
          <w:b/>
          <w:bCs/>
        </w:rPr>
        <w:t>skill importance</w:t>
      </w:r>
      <w:r>
        <w:t xml:space="preserve"> — how critical a skill is to performing the occupation, on a 1 (not important) to 5 (extremely important) scale — and </w:t>
      </w:r>
      <w:r>
        <w:rPr>
          <w:b/>
          <w:bCs/>
        </w:rPr>
        <w:t>skill proficiency (level)</w:t>
      </w:r>
      <w:r>
        <w:t xml:space="preserve"> — the degree of mastery required, on a 0 to 7 scale.</w:t>
      </w:r>
      <w:r>
        <w:rPr>
          <w:rStyle w:val="FootnoteReference"/>
        </w:rPr>
        <w:footnoteReference w:id="11"/>
      </w:r>
    </w:p>
    <w:p w14:paraId="31FA8506" w14:textId="77777777" w:rsidR="000409C7" w:rsidRDefault="00155F50">
      <w:pPr>
        <w:spacing w:after="160" w:line="276" w:lineRule="auto"/>
      </w:pPr>
      <w:r>
        <w:t xml:space="preserve">The skills covered span domains such as Active Learning, Active Listening, Complex Problem Solving, Coordination, Critical Thinking, Equipment Maintenance, Equipment Selection, Installation, Instructing, Judgment and Decision Making, Learning Strategies, Mathematics, Management of Financial / Material / Personnel Resources, Monitoring, Negotiation, Operation and Control, Operations Analysis, Operations Monitoring, Persuasion, Programming, Quality Control Analysis, Reading Comprehension, Repairing, Science, </w:t>
      </w:r>
      <w:r>
        <w:t>Service Orientation, Social Perceptiveness, Speaking, Systems Analysis, Systems Evaluation, Technology Design, Time Management, Troubleshooting, and Writing.</w:t>
      </w:r>
    </w:p>
    <w:p w14:paraId="72CDF48B" w14:textId="77777777" w:rsidR="000409C7" w:rsidRDefault="00155F50">
      <w:pPr>
        <w:spacing w:before="60" w:after="200"/>
      </w:pPr>
      <w:r>
        <w:rPr>
          <w:i/>
          <w:iCs/>
          <w:color w:val="595959"/>
          <w:sz w:val="17"/>
          <w:szCs w:val="17"/>
        </w:rPr>
        <w:t>Source for Annexes: Own elaboration based on the COSC methodology and the Global Occupations and Skills Catalog (GOSC) reference framework (U.S. National Employment Matrix, Occupational Outlook Handbook 2024, and O*NET).</w:t>
      </w:r>
    </w:p>
    <w:sectPr w:rsidR="000409C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3343" w14:textId="77777777" w:rsidR="00155F50" w:rsidRDefault="00155F50">
      <w:r>
        <w:separator/>
      </w:r>
    </w:p>
  </w:endnote>
  <w:endnote w:type="continuationSeparator" w:id="0">
    <w:p w14:paraId="0339BCB4" w14:textId="77777777" w:rsidR="00155F50" w:rsidRDefault="00155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E523" w14:textId="77777777" w:rsidR="000409C7" w:rsidRDefault="00155F50">
    <w:pPr>
      <w:pBdr>
        <w:top w:val="single" w:sz="4" w:space="4" w:color="BFBFBF"/>
      </w:pBdr>
      <w:tabs>
        <w:tab w:val="right" w:pos="9360"/>
      </w:tabs>
    </w:pPr>
    <w:r>
      <w:rPr>
        <w:color w:val="595959"/>
        <w:sz w:val="16"/>
        <w:szCs w:val="16"/>
      </w:rPr>
      <w:t>World Bank — South Asia People Vertical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E11FE">
      <w:rPr>
        <w:noProof/>
        <w:color w:val="595959"/>
        <w:sz w:val="16"/>
        <w:szCs w:val="16"/>
      </w:rPr>
      <w:t>10</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E11F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07CBA" w14:textId="77777777" w:rsidR="00155F50" w:rsidRDefault="00155F50">
      <w:r>
        <w:separator/>
      </w:r>
    </w:p>
  </w:footnote>
  <w:footnote w:type="continuationSeparator" w:id="0">
    <w:p w14:paraId="153992FA" w14:textId="77777777" w:rsidR="00155F50" w:rsidRDefault="00155F50">
      <w:r>
        <w:continuationSeparator/>
      </w:r>
    </w:p>
  </w:footnote>
  <w:footnote w:id="1">
    <w:p w14:paraId="31A911EA" w14:textId="77777777" w:rsidR="000409C7" w:rsidRDefault="00155F50">
      <w:r>
        <w:rPr>
          <w:rStyle w:val="FootnoteReference"/>
        </w:rPr>
        <w:footnoteRef/>
      </w:r>
      <w:r>
        <w:t>Priority sectors are those identified by the World Bank Group as having the greatest potential to generate direct and indirect local jobs: (i) Infrastructure and Energy; (ii) Manufacturing; (iii) Healthcare; (iv) Tourism; and (v) Agribusiness.</w:t>
      </w:r>
    </w:p>
  </w:footnote>
  <w:footnote w:id="2">
    <w:p w14:paraId="3E210A5C" w14:textId="77777777" w:rsidR="000409C7" w:rsidRDefault="00155F50">
      <w:r>
        <w:rPr>
          <w:rStyle w:val="FootnoteReference"/>
        </w:rPr>
        <w:footnoteRef/>
      </w:r>
      <w:r>
        <w:t>The six South Asian countries covered are Bangladesh, Bhutan, India, the Maldives, Nepal, and Sri Lanka.</w:t>
      </w:r>
    </w:p>
  </w:footnote>
  <w:footnote w:id="3">
    <w:p w14:paraId="149748C9" w14:textId="77777777" w:rsidR="000409C7" w:rsidRDefault="00155F50">
      <w:r>
        <w:rPr>
          <w:rStyle w:val="FootnoteReference"/>
        </w:rPr>
        <w:footnoteRef/>
      </w:r>
      <w:r>
        <w:t>The industry-based sector definitions were developed by the World Bank Global Jobs and Growth team and are based on the International Standard Industrial Classification of All Economic Activities (ISIC), Revision 4. For Infrastructure &amp; Energy, Healthcare, Manufacturing, and Agribusiness, definitions use ISIC Rev. 4 at the 2-digit level; for Tourism, the definition uses ISIC Rev. 4 at the 4-digit level following the ILO definition.</w:t>
      </w:r>
    </w:p>
  </w:footnote>
  <w:footnote w:id="4">
    <w:p w14:paraId="0AD006F0" w14:textId="77777777" w:rsidR="000409C7" w:rsidRDefault="00155F50">
      <w:r>
        <w:rPr>
          <w:rStyle w:val="FootnoteReference"/>
        </w:rPr>
        <w:footnoteRef/>
      </w:r>
      <w:r>
        <w:t>The GOSC draws on the U.S. National Employment Matrix 2024–2034 (Bureau of Labor Statistics), the U.S. Occupational Outlook Handbook (2024), and the O*NET database. The United States is used as the benchmark because of the exceptional depth, richness, and internal consistency of its employment, occupational, and skills data, which currently has no close equivalent across emerging economies.</w:t>
      </w:r>
    </w:p>
  </w:footnote>
  <w:footnote w:id="5">
    <w:p w14:paraId="69A6D657" w14:textId="77777777" w:rsidR="000409C7" w:rsidRDefault="00155F50">
      <w:r>
        <w:rPr>
          <w:rStyle w:val="FootnoteReference"/>
        </w:rPr>
        <w:footnoteRef/>
      </w:r>
      <w:r>
        <w:t>Within Infrastructure and Energy, additional distinctions can be drawn to separately identify energy activities (ISIC 35), digital infrastructure (ISIC 61), and core infrastructure (ISIC 36–39 and 41–43).</w:t>
      </w:r>
    </w:p>
  </w:footnote>
  <w:footnote w:id="6">
    <w:p w14:paraId="4079A770" w14:textId="77777777" w:rsidR="000409C7" w:rsidRDefault="00155F50">
      <w:r>
        <w:rPr>
          <w:rStyle w:val="FootnoteReference"/>
        </w:rPr>
        <w:footnoteRef/>
      </w:r>
      <w:r>
        <w:t>Wage employment only is included for agribusiness primary activities (ISIC divisions 01–03), while all employment is included for agribusiness processing (ISIC divisions 10–12, food products, beverages, and tobacco).</w:t>
      </w:r>
    </w:p>
  </w:footnote>
  <w:footnote w:id="7">
    <w:p w14:paraId="161959BE" w14:textId="77777777" w:rsidR="000409C7" w:rsidRDefault="00155F50">
      <w:r>
        <w:rPr>
          <w:rStyle w:val="FootnoteReference"/>
        </w:rPr>
        <w:footnoteRef/>
      </w:r>
      <w:r>
        <w:t>All wage and earnings statistics are computed for workers with positive earnings only, and are expressed in 2021 purchasing power parity (PPP) terms to support cross-country comparability.</w:t>
      </w:r>
    </w:p>
  </w:footnote>
  <w:footnote w:id="8">
    <w:p w14:paraId="659490A2" w14:textId="77777777" w:rsidR="000409C7" w:rsidRDefault="00155F50">
      <w:r>
        <w:rPr>
          <w:rStyle w:val="FootnoteReference"/>
        </w:rPr>
        <w:footnoteRef/>
      </w:r>
      <w:r>
        <w:t>Informality is constructed using country-specific definitions and the variables available in each household survey. In Bangladesh, for example, informality is proxied by the share of wage employees without a labor contract.</w:t>
      </w:r>
    </w:p>
  </w:footnote>
  <w:footnote w:id="9">
    <w:p w14:paraId="0F7D830D" w14:textId="77777777" w:rsidR="000409C7" w:rsidRDefault="00155F50">
      <w:r>
        <w:rPr>
          <w:rStyle w:val="FootnoteReference"/>
        </w:rPr>
        <w:footnoteRef/>
      </w:r>
      <w:r>
        <w:t>Illustrative results are drawn from the Bangladesh Catalogue of Occupations and Skills in the Priority Sectors (2022), constructed using the Bangladesh 2022 Quarterly Labor Force Survey.</w:t>
      </w:r>
    </w:p>
  </w:footnote>
  <w:footnote w:id="10">
    <w:p w14:paraId="5D194849" w14:textId="77777777" w:rsidR="000409C7" w:rsidRDefault="00155F50">
      <w:r>
        <w:rPr>
          <w:rStyle w:val="FootnoteReference"/>
        </w:rPr>
        <w:footnoteRef/>
      </w:r>
      <w:r>
        <w:t>For example, recent work in Vietnam and Indonesia began with the U.S.-based O*NET database and piloted a Survey of Detailed Skills tailored to the local context. These experiences suggest that the risks of using a U.S.-based framework can be mitigated when it is treated as a starting point for local validation rather than a direct representation of country conditions.</w:t>
      </w:r>
    </w:p>
  </w:footnote>
  <w:footnote w:id="11">
    <w:p w14:paraId="2DF70C0F" w14:textId="77777777" w:rsidR="000409C7" w:rsidRDefault="00155F50">
      <w:r>
        <w:rPr>
          <w:rStyle w:val="FootnoteReference"/>
        </w:rPr>
        <w:footnoteRef/>
      </w:r>
      <w:r>
        <w:t>O*NET skill importance is reported on a standardized scale from 1 (not important) to 5 (extremely important). Skill proficiency (level) is reported on a standardized scale from 0 to 7, with higher values indicating greater required proficiency.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5EF2" w14:textId="77777777" w:rsidR="000409C7" w:rsidRDefault="00155F50">
    <w:pPr>
      <w:pBdr>
        <w:bottom w:val="single" w:sz="4" w:space="4" w:color="BFBFBF"/>
      </w:pBdr>
      <w:tabs>
        <w:tab w:val="right" w:pos="9360"/>
      </w:tabs>
    </w:pPr>
    <w:r>
      <w:rPr>
        <w:color w:val="595959"/>
        <w:sz w:val="16"/>
        <w:szCs w:val="16"/>
      </w:rPr>
      <w:t>Methodological Note — Country-level Occupations and Skills Catalogs (COSCs)</w:t>
    </w:r>
    <w:r>
      <w:rPr>
        <w:color w:val="595959"/>
        <w:sz w:val="16"/>
        <w:szCs w:val="16"/>
      </w:rPr>
      <w:tab/>
      <w:t>South Asia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7B7AA4"/>
    <w:multiLevelType w:val="hybridMultilevel"/>
    <w:tmpl w:val="6DFAA3F8"/>
    <w:lvl w:ilvl="0" w:tplc="E77C17F6">
      <w:start w:val="1"/>
      <w:numFmt w:val="decimal"/>
      <w:lvlText w:val="Step %1."/>
      <w:lvlJc w:val="left"/>
      <w:pPr>
        <w:ind w:left="720" w:hanging="720"/>
      </w:pPr>
    </w:lvl>
    <w:lvl w:ilvl="1" w:tplc="B9EC253A">
      <w:numFmt w:val="decimal"/>
      <w:lvlText w:val=""/>
      <w:lvlJc w:val="left"/>
    </w:lvl>
    <w:lvl w:ilvl="2" w:tplc="AE3817E8">
      <w:numFmt w:val="decimal"/>
      <w:lvlText w:val=""/>
      <w:lvlJc w:val="left"/>
    </w:lvl>
    <w:lvl w:ilvl="3" w:tplc="99E0AA90">
      <w:numFmt w:val="decimal"/>
      <w:lvlText w:val=""/>
      <w:lvlJc w:val="left"/>
    </w:lvl>
    <w:lvl w:ilvl="4" w:tplc="CA302B5A">
      <w:numFmt w:val="decimal"/>
      <w:lvlText w:val=""/>
      <w:lvlJc w:val="left"/>
    </w:lvl>
    <w:lvl w:ilvl="5" w:tplc="75AA54E2">
      <w:numFmt w:val="decimal"/>
      <w:lvlText w:val=""/>
      <w:lvlJc w:val="left"/>
    </w:lvl>
    <w:lvl w:ilvl="6" w:tplc="E586D69C">
      <w:numFmt w:val="decimal"/>
      <w:lvlText w:val=""/>
      <w:lvlJc w:val="left"/>
    </w:lvl>
    <w:lvl w:ilvl="7" w:tplc="BFB4FEC2">
      <w:numFmt w:val="decimal"/>
      <w:lvlText w:val=""/>
      <w:lvlJc w:val="left"/>
    </w:lvl>
    <w:lvl w:ilvl="8" w:tplc="26748156">
      <w:numFmt w:val="decimal"/>
      <w:lvlText w:val=""/>
      <w:lvlJc w:val="left"/>
    </w:lvl>
  </w:abstractNum>
  <w:abstractNum w:abstractNumId="1" w15:restartNumberingAfterBreak="0">
    <w:nsid w:val="54DF25E9"/>
    <w:multiLevelType w:val="hybridMultilevel"/>
    <w:tmpl w:val="135CF11C"/>
    <w:lvl w:ilvl="0" w:tplc="74CE7408">
      <w:start w:val="1"/>
      <w:numFmt w:val="decimal"/>
      <w:lvlText w:val="%1."/>
      <w:lvlJc w:val="left"/>
      <w:pPr>
        <w:ind w:left="540" w:hanging="300"/>
      </w:pPr>
    </w:lvl>
    <w:lvl w:ilvl="1" w:tplc="B434A28E">
      <w:numFmt w:val="decimal"/>
      <w:lvlText w:val=""/>
      <w:lvlJc w:val="left"/>
    </w:lvl>
    <w:lvl w:ilvl="2" w:tplc="A70ABF72">
      <w:numFmt w:val="decimal"/>
      <w:lvlText w:val=""/>
      <w:lvlJc w:val="left"/>
    </w:lvl>
    <w:lvl w:ilvl="3" w:tplc="1BAAC526">
      <w:numFmt w:val="decimal"/>
      <w:lvlText w:val=""/>
      <w:lvlJc w:val="left"/>
    </w:lvl>
    <w:lvl w:ilvl="4" w:tplc="B470C232">
      <w:numFmt w:val="decimal"/>
      <w:lvlText w:val=""/>
      <w:lvlJc w:val="left"/>
    </w:lvl>
    <w:lvl w:ilvl="5" w:tplc="B51207A8">
      <w:numFmt w:val="decimal"/>
      <w:lvlText w:val=""/>
      <w:lvlJc w:val="left"/>
    </w:lvl>
    <w:lvl w:ilvl="6" w:tplc="1A266CB4">
      <w:numFmt w:val="decimal"/>
      <w:lvlText w:val=""/>
      <w:lvlJc w:val="left"/>
    </w:lvl>
    <w:lvl w:ilvl="7" w:tplc="A96C3B7C">
      <w:numFmt w:val="decimal"/>
      <w:lvlText w:val=""/>
      <w:lvlJc w:val="left"/>
    </w:lvl>
    <w:lvl w:ilvl="8" w:tplc="71F894DA">
      <w:numFmt w:val="decimal"/>
      <w:lvlText w:val=""/>
      <w:lvlJc w:val="left"/>
    </w:lvl>
  </w:abstractNum>
  <w:abstractNum w:abstractNumId="2" w15:restartNumberingAfterBreak="0">
    <w:nsid w:val="5D537983"/>
    <w:multiLevelType w:val="hybridMultilevel"/>
    <w:tmpl w:val="C8364AF4"/>
    <w:lvl w:ilvl="0" w:tplc="F09C578C">
      <w:start w:val="1"/>
      <w:numFmt w:val="bullet"/>
      <w:lvlText w:val="●"/>
      <w:lvlJc w:val="left"/>
      <w:pPr>
        <w:ind w:left="720" w:hanging="360"/>
      </w:pPr>
    </w:lvl>
    <w:lvl w:ilvl="1" w:tplc="1C86A73C">
      <w:start w:val="1"/>
      <w:numFmt w:val="bullet"/>
      <w:lvlText w:val="○"/>
      <w:lvlJc w:val="left"/>
      <w:pPr>
        <w:ind w:left="1440" w:hanging="360"/>
      </w:pPr>
    </w:lvl>
    <w:lvl w:ilvl="2" w:tplc="1CF8D67E">
      <w:start w:val="1"/>
      <w:numFmt w:val="bullet"/>
      <w:lvlText w:val="■"/>
      <w:lvlJc w:val="left"/>
      <w:pPr>
        <w:ind w:left="2160" w:hanging="360"/>
      </w:pPr>
    </w:lvl>
    <w:lvl w:ilvl="3" w:tplc="41F01E04">
      <w:start w:val="1"/>
      <w:numFmt w:val="bullet"/>
      <w:lvlText w:val="●"/>
      <w:lvlJc w:val="left"/>
      <w:pPr>
        <w:ind w:left="2880" w:hanging="360"/>
      </w:pPr>
    </w:lvl>
    <w:lvl w:ilvl="4" w:tplc="033A07AA">
      <w:start w:val="1"/>
      <w:numFmt w:val="bullet"/>
      <w:lvlText w:val="○"/>
      <w:lvlJc w:val="left"/>
      <w:pPr>
        <w:ind w:left="3600" w:hanging="360"/>
      </w:pPr>
    </w:lvl>
    <w:lvl w:ilvl="5" w:tplc="821C0FA6">
      <w:start w:val="1"/>
      <w:numFmt w:val="bullet"/>
      <w:lvlText w:val="■"/>
      <w:lvlJc w:val="left"/>
      <w:pPr>
        <w:ind w:left="4320" w:hanging="360"/>
      </w:pPr>
    </w:lvl>
    <w:lvl w:ilvl="6" w:tplc="9C34DDF8">
      <w:start w:val="1"/>
      <w:numFmt w:val="bullet"/>
      <w:lvlText w:val="●"/>
      <w:lvlJc w:val="left"/>
      <w:pPr>
        <w:ind w:left="5040" w:hanging="360"/>
      </w:pPr>
    </w:lvl>
    <w:lvl w:ilvl="7" w:tplc="ED928176">
      <w:start w:val="1"/>
      <w:numFmt w:val="bullet"/>
      <w:lvlText w:val="●"/>
      <w:lvlJc w:val="left"/>
      <w:pPr>
        <w:ind w:left="5760" w:hanging="360"/>
      </w:pPr>
    </w:lvl>
    <w:lvl w:ilvl="8" w:tplc="FB4E83C2">
      <w:start w:val="1"/>
      <w:numFmt w:val="bullet"/>
      <w:lvlText w:val="●"/>
      <w:lvlJc w:val="left"/>
      <w:pPr>
        <w:ind w:left="6480" w:hanging="360"/>
      </w:pPr>
    </w:lvl>
  </w:abstractNum>
  <w:abstractNum w:abstractNumId="3" w15:restartNumberingAfterBreak="0">
    <w:nsid w:val="642D5E0E"/>
    <w:multiLevelType w:val="hybridMultilevel"/>
    <w:tmpl w:val="F41450A4"/>
    <w:lvl w:ilvl="0" w:tplc="37BA520E">
      <w:start w:val="1"/>
      <w:numFmt w:val="bullet"/>
      <w:lvlText w:val="•"/>
      <w:lvlJc w:val="left"/>
      <w:pPr>
        <w:ind w:left="540" w:hanging="260"/>
      </w:pPr>
    </w:lvl>
    <w:lvl w:ilvl="1" w:tplc="480410D8">
      <w:start w:val="1"/>
      <w:numFmt w:val="bullet"/>
      <w:lvlText w:val="–"/>
      <w:lvlJc w:val="left"/>
      <w:pPr>
        <w:ind w:left="1040" w:hanging="260"/>
      </w:pPr>
    </w:lvl>
    <w:lvl w:ilvl="2" w:tplc="723A81CA">
      <w:numFmt w:val="decimal"/>
      <w:lvlText w:val=""/>
      <w:lvlJc w:val="left"/>
    </w:lvl>
    <w:lvl w:ilvl="3" w:tplc="A39C2838">
      <w:numFmt w:val="decimal"/>
      <w:lvlText w:val=""/>
      <w:lvlJc w:val="left"/>
    </w:lvl>
    <w:lvl w:ilvl="4" w:tplc="54DE258E">
      <w:numFmt w:val="decimal"/>
      <w:lvlText w:val=""/>
      <w:lvlJc w:val="left"/>
    </w:lvl>
    <w:lvl w:ilvl="5" w:tplc="FB6C2898">
      <w:numFmt w:val="decimal"/>
      <w:lvlText w:val=""/>
      <w:lvlJc w:val="left"/>
    </w:lvl>
    <w:lvl w:ilvl="6" w:tplc="B796A9B4">
      <w:numFmt w:val="decimal"/>
      <w:lvlText w:val=""/>
      <w:lvlJc w:val="left"/>
    </w:lvl>
    <w:lvl w:ilvl="7" w:tplc="F23C999C">
      <w:numFmt w:val="decimal"/>
      <w:lvlText w:val=""/>
      <w:lvlJc w:val="left"/>
    </w:lvl>
    <w:lvl w:ilvl="8" w:tplc="6DE8D5AE">
      <w:numFmt w:val="decimal"/>
      <w:lvlText w:val=""/>
      <w:lvlJc w:val="left"/>
    </w:lvl>
  </w:abstractNum>
  <w:num w:numId="1" w16cid:durableId="59984726">
    <w:abstractNumId w:val="2"/>
    <w:lvlOverride w:ilvl="0">
      <w:startOverride w:val="1"/>
    </w:lvlOverride>
  </w:num>
  <w:num w:numId="2" w16cid:durableId="1243635521">
    <w:abstractNumId w:val="3"/>
    <w:lvlOverride w:ilvl="0">
      <w:startOverride w:val="1"/>
    </w:lvlOverride>
  </w:num>
  <w:num w:numId="3" w16cid:durableId="140512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9C7"/>
    <w:rsid w:val="000409C7"/>
    <w:rsid w:val="00155F50"/>
    <w:rsid w:val="001E11FE"/>
    <w:rsid w:val="00E55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4CF3"/>
  <w15:docId w15:val="{5DAE59CB-3400-47E1-B67C-5012B76D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unhideWhenUsed/>
    <w:qFormat/>
    <w:pPr>
      <w:spacing w:before="180" w:after="80"/>
      <w:outlineLvl w:val="2"/>
    </w:pPr>
    <w:rPr>
      <w:b/>
      <w:bCs/>
      <w:color w:val="1F1F1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E11FE"/>
    <w:pPr>
      <w:spacing w:after="100"/>
    </w:pPr>
  </w:style>
  <w:style w:type="paragraph" w:styleId="TOC2">
    <w:name w:val="toc 2"/>
    <w:basedOn w:val="Normal"/>
    <w:next w:val="Normal"/>
    <w:autoRedefine/>
    <w:uiPriority w:val="39"/>
    <w:unhideWhenUsed/>
    <w:rsid w:val="001E11F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4925</Words>
  <Characters>29157</Characters>
  <Application>Microsoft Office Word</Application>
  <DocSecurity>0</DocSecurity>
  <Lines>571</Lines>
  <Paragraphs>370</Paragraphs>
  <ScaleCrop>false</ScaleCrop>
  <Company/>
  <LinksUpToDate>false</LinksUpToDate>
  <CharactersWithSpaces>33712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Note: Country-level Occupations and Skills Catalogs (COSCs)</dc:title>
  <dc:creator>World Bank – South Asia People Vertical</dc:creator>
  <dc:description>Methodological note on the construction, content, and use of the COSCs for priority sectors in South Asia.</dc:description>
  <cp:lastModifiedBy>Monica Yanez Pagans</cp:lastModifiedBy>
  <cp:revision>2</cp:revision>
  <dcterms:created xsi:type="dcterms:W3CDTF">2026-06-18T04:41:00Z</dcterms:created>
  <dcterms:modified xsi:type="dcterms:W3CDTF">2026-06-18T04:41:00Z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2026-06-18T07:19:45Z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72da4a3f-f193-477c-850e-71476f83f1bf</vt:lpwstr>
  </property>
  <property fmtid="{D5CDD505-2E9C-101B-9397-08002B2CF9AE}" pid="8" name="MSIP_Label_f1bf45b6-5649-4236-82a3-f45024cd282e_ContentBits">
    <vt:lpwstr>0</vt:lpwstr>
  </property>
</Properties>
</file>