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9F79" w14:textId="58FFFBA8" w:rsidR="00C81B98" w:rsidRPr="00C81B98" w:rsidRDefault="00C32DDF" w:rsidP="00C81B98">
      <w:pPr>
        <w:pStyle w:val="Heading2"/>
        <w:jc w:val="both"/>
      </w:pPr>
      <w:bookmarkStart w:id="0" w:name="_Toc208825161"/>
      <w:r w:rsidRPr="00C32DDF">
        <w:t xml:space="preserve">Methodological Annex: </w:t>
      </w:r>
      <w:bookmarkEnd w:id="0"/>
      <w:r w:rsidR="001867B4" w:rsidRPr="001867B4">
        <w:t>A Data-Driven Global Catalogue of Occupations and Skills in Priority Sectors</w:t>
      </w:r>
    </w:p>
    <w:p w14:paraId="421D880B" w14:textId="37BD509E" w:rsidR="002F2075" w:rsidRPr="002131B9" w:rsidRDefault="002F2075" w:rsidP="002131B9">
      <w:pPr>
        <w:pStyle w:val="ListParagraph"/>
        <w:numPr>
          <w:ilvl w:val="0"/>
          <w:numId w:val="47"/>
        </w:numPr>
        <w:spacing w:line="240" w:lineRule="auto"/>
        <w:jc w:val="both"/>
        <w:rPr>
          <w:rFonts w:ascii="Calibri" w:hAnsi="Calibri" w:cs="Calibri"/>
          <w:b/>
          <w:bCs/>
        </w:rPr>
      </w:pPr>
      <w:r w:rsidRPr="002131B9">
        <w:rPr>
          <w:rFonts w:ascii="Calibri" w:hAnsi="Calibri" w:cs="Calibri"/>
          <w:b/>
          <w:bCs/>
        </w:rPr>
        <w:t>Introduction</w:t>
      </w:r>
    </w:p>
    <w:p w14:paraId="65F16A32" w14:textId="77777777" w:rsidR="00B93765" w:rsidRPr="00B93765" w:rsidRDefault="00B93765" w:rsidP="00B93765">
      <w:pPr>
        <w:spacing w:line="240" w:lineRule="auto"/>
        <w:jc w:val="both"/>
        <w:rPr>
          <w:rFonts w:ascii="Calibri" w:hAnsi="Calibri" w:cs="Calibri"/>
          <w:sz w:val="22"/>
          <w:szCs w:val="22"/>
        </w:rPr>
      </w:pPr>
      <w:r w:rsidRPr="00B93765">
        <w:rPr>
          <w:rFonts w:ascii="Calibri" w:hAnsi="Calibri" w:cs="Calibri"/>
          <w:sz w:val="22"/>
          <w:szCs w:val="22"/>
        </w:rPr>
        <w:t xml:space="preserve">This annex presents the methodological foundations of a global priority sector jobs catalogue. The objective is to provide a transparent and internationally comparable approach to identifying the occupations most typically employed within priority sectors—Infrastructure and Energy, Manufacturing, Healthcare, Tourism, and </w:t>
      </w:r>
      <w:proofErr w:type="gramStart"/>
      <w:r w:rsidRPr="00B93765">
        <w:rPr>
          <w:rFonts w:ascii="Calibri" w:hAnsi="Calibri" w:cs="Calibri"/>
          <w:sz w:val="22"/>
          <w:szCs w:val="22"/>
        </w:rPr>
        <w:t>Agribusiness—</w:t>
      </w:r>
      <w:proofErr w:type="gramEnd"/>
      <w:r w:rsidRPr="00B93765">
        <w:rPr>
          <w:rFonts w:ascii="Calibri" w:hAnsi="Calibri" w:cs="Calibri"/>
          <w:sz w:val="22"/>
          <w:szCs w:val="22"/>
        </w:rPr>
        <w:t>and to link these occupations to the skills and competencies required to sustain sectoral growth.</w:t>
      </w:r>
    </w:p>
    <w:p w14:paraId="7983E4F0" w14:textId="77777777" w:rsidR="00B93765" w:rsidRPr="00B93765" w:rsidRDefault="00B93765" w:rsidP="00B93765">
      <w:pPr>
        <w:spacing w:line="240" w:lineRule="auto"/>
        <w:jc w:val="both"/>
        <w:rPr>
          <w:rFonts w:ascii="Calibri" w:hAnsi="Calibri" w:cs="Calibri"/>
          <w:sz w:val="22"/>
          <w:szCs w:val="22"/>
        </w:rPr>
      </w:pPr>
      <w:r w:rsidRPr="00B93765">
        <w:rPr>
          <w:rFonts w:ascii="Calibri" w:hAnsi="Calibri" w:cs="Calibri"/>
          <w:sz w:val="22"/>
          <w:szCs w:val="22"/>
        </w:rPr>
        <w:t>In the absence of harmonized global data linking industries, occupations, and skills at a detailed level, the approach relies on the United States as a benchmark economy, given the availability of rich and internally consistent labor market information. The resulting occupation profiles are subsequently validated and refined using country-level data from SAR countries, ensuring relevance beyond the benchmark context.</w:t>
      </w:r>
    </w:p>
    <w:p w14:paraId="4303D821" w14:textId="1A4B8F80" w:rsidR="00BF6327" w:rsidRPr="002131B9" w:rsidRDefault="00BF6327" w:rsidP="002131B9">
      <w:pPr>
        <w:pStyle w:val="ListParagraph"/>
        <w:numPr>
          <w:ilvl w:val="0"/>
          <w:numId w:val="47"/>
        </w:numPr>
        <w:spacing w:line="240" w:lineRule="auto"/>
        <w:jc w:val="both"/>
        <w:rPr>
          <w:rFonts w:ascii="Calibri" w:hAnsi="Calibri" w:cs="Calibri"/>
          <w:b/>
          <w:bCs/>
        </w:rPr>
      </w:pPr>
      <w:r w:rsidRPr="002131B9">
        <w:rPr>
          <w:rFonts w:ascii="Calibri" w:hAnsi="Calibri" w:cs="Calibri"/>
          <w:b/>
          <w:bCs/>
        </w:rPr>
        <w:t>Data</w:t>
      </w:r>
    </w:p>
    <w:p w14:paraId="676699C5" w14:textId="77777777" w:rsidR="00BF6327" w:rsidRPr="00BF6327" w:rsidRDefault="00BF6327" w:rsidP="00BF6327">
      <w:pPr>
        <w:spacing w:line="240" w:lineRule="auto"/>
        <w:jc w:val="both"/>
        <w:rPr>
          <w:rFonts w:ascii="Calibri" w:hAnsi="Calibri" w:cs="Calibri"/>
          <w:sz w:val="22"/>
          <w:szCs w:val="22"/>
        </w:rPr>
      </w:pPr>
      <w:r w:rsidRPr="00BF6327">
        <w:rPr>
          <w:rFonts w:ascii="Calibri" w:hAnsi="Calibri" w:cs="Calibri"/>
          <w:sz w:val="22"/>
          <w:szCs w:val="22"/>
        </w:rPr>
        <w:t>The construction of the global priority sector jobs catalogue draws on three main data sources.</w:t>
      </w:r>
    </w:p>
    <w:p w14:paraId="6C56EA2F" w14:textId="645469DE" w:rsidR="00A42E54" w:rsidRPr="00DA07D1" w:rsidRDefault="00A42E54" w:rsidP="00BF6327">
      <w:pPr>
        <w:spacing w:line="240" w:lineRule="auto"/>
        <w:jc w:val="both"/>
        <w:rPr>
          <w:rFonts w:ascii="Calibri" w:hAnsi="Calibri" w:cs="Calibri"/>
          <w:sz w:val="22"/>
          <w:szCs w:val="22"/>
        </w:rPr>
      </w:pPr>
      <w:r w:rsidRPr="00A42E54">
        <w:rPr>
          <w:rFonts w:ascii="Calibri" w:hAnsi="Calibri" w:cs="Calibri"/>
          <w:sz w:val="22"/>
          <w:szCs w:val="22"/>
        </w:rPr>
        <w:t>First, industry–occupation employment patterns are obtained from the U.S. National Employment Matrix 2024–2034, produced by the U.S. Bureau of Labor Statistics (BLS). The matrix reports employment for occupations at the 6-digit U.S. Standard Occupational Classification (SOC) level, covering 832 detailed occupations, by NAICS-based industries. Industries are reported at the highest level of detail permitted by data quality and confidentiality considerations, which impl</w:t>
      </w:r>
      <w:r w:rsidR="00C51A8F">
        <w:rPr>
          <w:rFonts w:ascii="Calibri" w:hAnsi="Calibri" w:cs="Calibri"/>
          <w:sz w:val="22"/>
          <w:szCs w:val="22"/>
        </w:rPr>
        <w:t>ies</w:t>
      </w:r>
      <w:r w:rsidRPr="00A42E54">
        <w:rPr>
          <w:rFonts w:ascii="Calibri" w:hAnsi="Calibri" w:cs="Calibri"/>
          <w:sz w:val="22"/>
          <w:szCs w:val="22"/>
        </w:rPr>
        <w:t xml:space="preserve"> aggregation in some cases. Self-employed workers are reported as a separate category and are not linked to specific industries; as a result, self-employment is excluded from the industry–occupation mapping, representing approximately 6 percent of total employment in the U.S. labor force.</w:t>
      </w:r>
    </w:p>
    <w:p w14:paraId="435FE4E5" w14:textId="46C0E3A4" w:rsidR="000C0A71" w:rsidRDefault="000C0A71" w:rsidP="00F806B3">
      <w:pPr>
        <w:spacing w:line="240" w:lineRule="auto"/>
        <w:jc w:val="both"/>
        <w:rPr>
          <w:rFonts w:ascii="Calibri" w:hAnsi="Calibri" w:cs="Calibri"/>
          <w:sz w:val="22"/>
          <w:szCs w:val="22"/>
        </w:rPr>
      </w:pPr>
      <w:r w:rsidRPr="000C0A71">
        <w:rPr>
          <w:rFonts w:ascii="Calibri" w:hAnsi="Calibri" w:cs="Calibri"/>
          <w:sz w:val="22"/>
          <w:szCs w:val="22"/>
        </w:rPr>
        <w:t>Second, occupation-level labor market characteristics are drawn from the U.S. Occupational Outlook Handbook (2024). For each occupation, the catalogue incorporates information on typical entry-level education requirements, on-the-job training requirements, projected numbers of new jobs, and projected employment growth rates over the 2024–2034 period. In addition, detailed information on earnings is included, covering both annual and hourly wages. Wage indicators summarize the distribution of earnings within occupations using measures of central tendency and dispersion, including median wages and selected percentile-based ratios that capture within-occupation wage inequality.</w:t>
      </w:r>
    </w:p>
    <w:p w14:paraId="5C7CAA67" w14:textId="33A10595" w:rsidR="00F806B3" w:rsidRPr="00F806B3" w:rsidRDefault="00F806B3" w:rsidP="00F806B3">
      <w:pPr>
        <w:spacing w:line="240" w:lineRule="auto"/>
        <w:jc w:val="both"/>
        <w:rPr>
          <w:rFonts w:ascii="Calibri" w:hAnsi="Calibri" w:cs="Calibri"/>
          <w:sz w:val="22"/>
          <w:szCs w:val="22"/>
        </w:rPr>
      </w:pPr>
      <w:r w:rsidRPr="00F806B3">
        <w:rPr>
          <w:rFonts w:ascii="Calibri" w:hAnsi="Calibri" w:cs="Calibri"/>
          <w:sz w:val="22"/>
          <w:szCs w:val="22"/>
        </w:rPr>
        <w:t>Third, detailed information on skills and tasks associated with each occupation is sourced from the O*NET database. For each occupation, the catalogue incorporates standardized measures of skill importance and skill proficiency, as well as detailed task descriptions. These data provide a systematic link between occupations and the underlying skills and competencies required to perform them, allowing the jobs catalogue to move beyond occupational titles and earnings and toward a skills-based characterization of labor demand.</w:t>
      </w:r>
    </w:p>
    <w:p w14:paraId="593D15A5" w14:textId="19CC1EA2" w:rsidR="0069723A" w:rsidRPr="00DA07D1" w:rsidRDefault="0069723A" w:rsidP="00BF6327">
      <w:pPr>
        <w:spacing w:line="240" w:lineRule="auto"/>
        <w:jc w:val="both"/>
        <w:rPr>
          <w:rFonts w:ascii="Calibri" w:hAnsi="Calibri" w:cs="Calibri"/>
          <w:sz w:val="22"/>
          <w:szCs w:val="22"/>
        </w:rPr>
      </w:pPr>
      <w:r w:rsidRPr="0069723A">
        <w:rPr>
          <w:rFonts w:ascii="Calibri" w:hAnsi="Calibri" w:cs="Calibri"/>
          <w:sz w:val="22"/>
          <w:szCs w:val="22"/>
        </w:rPr>
        <w:t xml:space="preserve">Finally, household survey microdata from labor force surveys (LFS) in SAR countries are used for validation and contextualization. These data are used to compute occupation-specific employment shares within priority sectors at the country level, </w:t>
      </w:r>
      <w:proofErr w:type="gramStart"/>
      <w:r w:rsidRPr="0069723A">
        <w:rPr>
          <w:rFonts w:ascii="Calibri" w:hAnsi="Calibri" w:cs="Calibri"/>
          <w:sz w:val="22"/>
          <w:szCs w:val="22"/>
        </w:rPr>
        <w:t>in order to</w:t>
      </w:r>
      <w:proofErr w:type="gramEnd"/>
      <w:r w:rsidRPr="0069723A">
        <w:rPr>
          <w:rFonts w:ascii="Calibri" w:hAnsi="Calibri" w:cs="Calibri"/>
          <w:sz w:val="22"/>
          <w:szCs w:val="22"/>
        </w:rPr>
        <w:t xml:space="preserve"> assess whether the occupations identified as typical within priority sectors in the U.S. benchmark are also prominent in other country contexts. Based on these data, country-specific occupation catalogues are constructed, including selected occupation-level indicators such as typical level of education, wages, total employment, and indicators of informality. Occupations are </w:t>
      </w:r>
      <w:r w:rsidRPr="0069723A">
        <w:rPr>
          <w:rFonts w:ascii="Calibri" w:hAnsi="Calibri" w:cs="Calibri"/>
          <w:sz w:val="22"/>
          <w:szCs w:val="22"/>
        </w:rPr>
        <w:lastRenderedPageBreak/>
        <w:t>defined using the International Standard Classification of Occupations (ISCO) at the highest level of detail permitted by the data, ensuring consistency with sectoral definitions while preserving cross-country comparability.</w:t>
      </w:r>
    </w:p>
    <w:p w14:paraId="164FEC12" w14:textId="5321684F" w:rsidR="00073842" w:rsidRPr="002131B9" w:rsidRDefault="00073842" w:rsidP="002131B9">
      <w:pPr>
        <w:pStyle w:val="ListParagraph"/>
        <w:numPr>
          <w:ilvl w:val="0"/>
          <w:numId w:val="47"/>
        </w:numPr>
        <w:spacing w:line="240" w:lineRule="auto"/>
        <w:jc w:val="both"/>
        <w:rPr>
          <w:rFonts w:ascii="Calibri" w:hAnsi="Calibri" w:cs="Calibri"/>
          <w:b/>
          <w:bCs/>
        </w:rPr>
      </w:pPr>
      <w:r w:rsidRPr="002131B9">
        <w:rPr>
          <w:rFonts w:ascii="Calibri" w:hAnsi="Calibri" w:cs="Calibri"/>
          <w:b/>
          <w:bCs/>
        </w:rPr>
        <w:t xml:space="preserve">Methodology </w:t>
      </w:r>
    </w:p>
    <w:p w14:paraId="7F4FDCAF" w14:textId="77777777" w:rsidR="00073842" w:rsidRPr="00073842" w:rsidRDefault="00073842" w:rsidP="00073842">
      <w:pPr>
        <w:spacing w:line="240" w:lineRule="auto"/>
        <w:jc w:val="both"/>
        <w:rPr>
          <w:rFonts w:ascii="Calibri" w:hAnsi="Calibri" w:cs="Calibri"/>
          <w:sz w:val="22"/>
          <w:szCs w:val="22"/>
        </w:rPr>
      </w:pPr>
      <w:r w:rsidRPr="00073842">
        <w:rPr>
          <w:rFonts w:ascii="Calibri" w:hAnsi="Calibri" w:cs="Calibri"/>
          <w:sz w:val="22"/>
          <w:szCs w:val="22"/>
        </w:rPr>
        <w:t>The methodology proceeds in three main steps: defining priority sectors at the industry level, mapping industries to occupations using employment data, and enriching occupations with skills-related information.</w:t>
      </w:r>
    </w:p>
    <w:p w14:paraId="35D214D8" w14:textId="211F2616" w:rsidR="00073842" w:rsidRPr="005F454B" w:rsidRDefault="00073842" w:rsidP="005F454B">
      <w:pPr>
        <w:pStyle w:val="ListParagraph"/>
        <w:numPr>
          <w:ilvl w:val="1"/>
          <w:numId w:val="48"/>
        </w:numPr>
        <w:spacing w:line="240" w:lineRule="auto"/>
        <w:jc w:val="both"/>
        <w:rPr>
          <w:rFonts w:ascii="Calibri" w:hAnsi="Calibri" w:cs="Calibri"/>
          <w:b/>
          <w:bCs/>
          <w:i/>
          <w:iCs/>
          <w:sz w:val="22"/>
          <w:szCs w:val="22"/>
          <w:u w:val="single"/>
        </w:rPr>
      </w:pPr>
      <w:r w:rsidRPr="005F454B">
        <w:rPr>
          <w:rFonts w:ascii="Calibri" w:hAnsi="Calibri" w:cs="Calibri"/>
          <w:b/>
          <w:bCs/>
          <w:i/>
          <w:iCs/>
          <w:sz w:val="22"/>
          <w:szCs w:val="22"/>
          <w:u w:val="single"/>
        </w:rPr>
        <w:t>Priority sector definition and industry mapping</w:t>
      </w:r>
    </w:p>
    <w:p w14:paraId="57767244" w14:textId="77777777" w:rsidR="00073842" w:rsidRPr="00073842" w:rsidRDefault="00073842" w:rsidP="00073842">
      <w:pPr>
        <w:spacing w:line="240" w:lineRule="auto"/>
        <w:jc w:val="both"/>
        <w:rPr>
          <w:rFonts w:ascii="Calibri" w:hAnsi="Calibri" w:cs="Calibri"/>
          <w:sz w:val="22"/>
          <w:szCs w:val="22"/>
        </w:rPr>
      </w:pPr>
      <w:r w:rsidRPr="00073842">
        <w:rPr>
          <w:rFonts w:ascii="Calibri" w:hAnsi="Calibri" w:cs="Calibri"/>
          <w:sz w:val="22"/>
          <w:szCs w:val="22"/>
        </w:rPr>
        <w:t>The starting point is the definition of priority sectors developed by the World Bank Global Team, which is based on economic activities classified under ISIC Rev.4. To operationalize these definitions using U.S. labor market data, priority sector definitions are translated from ISIC Rev.4 into NAICS using the 2022 NAICS–ISIC concordance.</w:t>
      </w:r>
    </w:p>
    <w:p w14:paraId="760A85B3" w14:textId="3CA40109" w:rsidR="00073842" w:rsidRPr="00073842" w:rsidRDefault="00073842" w:rsidP="00073842">
      <w:pPr>
        <w:spacing w:line="240" w:lineRule="auto"/>
        <w:jc w:val="both"/>
        <w:rPr>
          <w:rFonts w:ascii="Calibri" w:hAnsi="Calibri" w:cs="Calibri"/>
          <w:sz w:val="22"/>
          <w:szCs w:val="22"/>
        </w:rPr>
      </w:pPr>
      <w:r w:rsidRPr="00073842">
        <w:rPr>
          <w:rFonts w:ascii="Calibri" w:hAnsi="Calibri" w:cs="Calibri"/>
          <w:sz w:val="22"/>
          <w:szCs w:val="22"/>
        </w:rPr>
        <w:t>Priority sectors are defined as follows.</w:t>
      </w:r>
      <w:r>
        <w:rPr>
          <w:rFonts w:ascii="Calibri" w:hAnsi="Calibri" w:cs="Calibri"/>
          <w:sz w:val="22"/>
          <w:szCs w:val="22"/>
        </w:rPr>
        <w:t xml:space="preserve"> </w:t>
      </w:r>
      <w:r w:rsidRPr="00073842">
        <w:rPr>
          <w:rFonts w:ascii="Calibri" w:hAnsi="Calibri" w:cs="Calibri"/>
          <w:sz w:val="22"/>
          <w:szCs w:val="22"/>
        </w:rPr>
        <w:t xml:space="preserve">Infrastructure and Energy </w:t>
      </w:r>
      <w:proofErr w:type="gramStart"/>
      <w:r w:rsidRPr="00073842">
        <w:rPr>
          <w:rFonts w:ascii="Calibri" w:hAnsi="Calibri" w:cs="Calibri"/>
          <w:sz w:val="22"/>
          <w:szCs w:val="22"/>
        </w:rPr>
        <w:t>includes</w:t>
      </w:r>
      <w:proofErr w:type="gramEnd"/>
      <w:r w:rsidRPr="00073842">
        <w:rPr>
          <w:rFonts w:ascii="Calibri" w:hAnsi="Calibri" w:cs="Calibri"/>
          <w:sz w:val="22"/>
          <w:szCs w:val="22"/>
        </w:rPr>
        <w:t xml:space="preserve"> ISIC divisions 35–39 (electricity, gas, water supply, sewerage, waste management), 41–43 (construction), and 61 (telecommunications).</w:t>
      </w:r>
      <w:r w:rsidR="00F4756D">
        <w:rPr>
          <w:rStyle w:val="FootnoteReference"/>
          <w:rFonts w:ascii="Calibri" w:hAnsi="Calibri" w:cs="Calibri"/>
          <w:sz w:val="22"/>
          <w:szCs w:val="22"/>
        </w:rPr>
        <w:footnoteReference w:id="2"/>
      </w:r>
      <w:r w:rsidRPr="00073842">
        <w:rPr>
          <w:rFonts w:ascii="Calibri" w:hAnsi="Calibri" w:cs="Calibri"/>
          <w:sz w:val="22"/>
          <w:szCs w:val="22"/>
        </w:rPr>
        <w:br/>
        <w:t>Manufacturing corresponds to ISIC divisions 13–33, covering all manufacturing activities excluding agribusiness-related</w:t>
      </w:r>
      <w:r>
        <w:rPr>
          <w:rFonts w:ascii="Calibri" w:hAnsi="Calibri" w:cs="Calibri"/>
          <w:sz w:val="22"/>
          <w:szCs w:val="22"/>
        </w:rPr>
        <w:t xml:space="preserve"> </w:t>
      </w:r>
      <w:r w:rsidRPr="00073842">
        <w:rPr>
          <w:rFonts w:ascii="Calibri" w:hAnsi="Calibri" w:cs="Calibri"/>
          <w:sz w:val="22"/>
          <w:szCs w:val="22"/>
        </w:rPr>
        <w:t>processing.</w:t>
      </w:r>
      <w:r>
        <w:rPr>
          <w:rFonts w:ascii="Calibri" w:hAnsi="Calibri" w:cs="Calibri"/>
          <w:sz w:val="22"/>
          <w:szCs w:val="22"/>
        </w:rPr>
        <w:t xml:space="preserve"> </w:t>
      </w:r>
      <w:r w:rsidRPr="00073842">
        <w:rPr>
          <w:rFonts w:ascii="Calibri" w:hAnsi="Calibri" w:cs="Calibri"/>
          <w:sz w:val="22"/>
          <w:szCs w:val="22"/>
        </w:rPr>
        <w:t>Healthcare includes ISIC divisions 86 (human health activities) and 87 (residential care activities).</w:t>
      </w:r>
      <w:r>
        <w:rPr>
          <w:rFonts w:ascii="Calibri" w:hAnsi="Calibri" w:cs="Calibri"/>
          <w:sz w:val="22"/>
          <w:szCs w:val="22"/>
        </w:rPr>
        <w:t xml:space="preserve"> </w:t>
      </w:r>
      <w:r w:rsidRPr="00073842">
        <w:rPr>
          <w:rFonts w:ascii="Calibri" w:hAnsi="Calibri" w:cs="Calibri"/>
          <w:sz w:val="22"/>
          <w:szCs w:val="22"/>
        </w:rPr>
        <w:t>Tourism follows the ILO definition at the ISIC four-digit level, encompassing accommodation, food and beverage services, passenger transport, travel services, and recreation-related activities.</w:t>
      </w:r>
      <w:r w:rsidR="00DF6AE5">
        <w:rPr>
          <w:rStyle w:val="FootnoteReference"/>
          <w:rFonts w:ascii="Calibri" w:hAnsi="Calibri" w:cs="Calibri"/>
          <w:sz w:val="22"/>
          <w:szCs w:val="22"/>
        </w:rPr>
        <w:footnoteReference w:id="3"/>
      </w:r>
      <w:r>
        <w:rPr>
          <w:rFonts w:ascii="Calibri" w:hAnsi="Calibri" w:cs="Calibri"/>
          <w:sz w:val="22"/>
          <w:szCs w:val="22"/>
        </w:rPr>
        <w:t xml:space="preserve"> </w:t>
      </w:r>
      <w:r w:rsidRPr="00073842">
        <w:rPr>
          <w:rFonts w:ascii="Calibri" w:hAnsi="Calibri" w:cs="Calibri"/>
          <w:sz w:val="22"/>
          <w:szCs w:val="22"/>
        </w:rPr>
        <w:t>Agribusiness includes wage employment in ISIC divisions 01–03 (crop and animal production, forestry, and fishing) and all employment in ISIC divisions 10–12 (manufacture of food products, beverages, and tobacco).</w:t>
      </w:r>
      <w:r w:rsidR="00FB1262">
        <w:rPr>
          <w:rStyle w:val="FootnoteReference"/>
          <w:rFonts w:ascii="Calibri" w:hAnsi="Calibri" w:cs="Calibri"/>
          <w:sz w:val="22"/>
          <w:szCs w:val="22"/>
        </w:rPr>
        <w:footnoteReference w:id="4"/>
      </w:r>
    </w:p>
    <w:p w14:paraId="41333919" w14:textId="012E9BAC" w:rsidR="006C2FCA" w:rsidRPr="006C2FCA" w:rsidRDefault="00397B61" w:rsidP="006C2FCA">
      <w:pPr>
        <w:spacing w:line="240" w:lineRule="auto"/>
        <w:jc w:val="both"/>
        <w:rPr>
          <w:rFonts w:ascii="Calibri" w:hAnsi="Calibri" w:cs="Calibri"/>
          <w:sz w:val="22"/>
          <w:szCs w:val="22"/>
        </w:rPr>
      </w:pPr>
      <w:r w:rsidRPr="00397B61">
        <w:rPr>
          <w:rFonts w:ascii="Calibri" w:hAnsi="Calibri" w:cs="Calibri"/>
          <w:sz w:val="22"/>
          <w:szCs w:val="22"/>
        </w:rPr>
        <w:t>Because the correspondence between NAICS and ISIC classifications is not always one-to-one, some NAICS 6-digit industries map to multiple ISIC activities, which in a limited number of cases belong to more than one of the six broad sectors (the five priority sectors plus a residual category). In these cases, no more disaggregated employment information is available to allocate employment across activities. Employment is therefore distributed equally across linked ISIC industries, following a standard equal-allocation assumption used in the literature under data constraints, which applies to only 36 out of 1,012 NAICS industries.</w:t>
      </w:r>
    </w:p>
    <w:p w14:paraId="65225BB5" w14:textId="3BB55622" w:rsidR="006C2FCA" w:rsidRDefault="006C2FCA" w:rsidP="006C2FCA">
      <w:pPr>
        <w:spacing w:line="240" w:lineRule="auto"/>
        <w:jc w:val="both"/>
        <w:rPr>
          <w:rFonts w:ascii="Calibri" w:hAnsi="Calibri" w:cs="Calibri"/>
          <w:sz w:val="22"/>
          <w:szCs w:val="22"/>
        </w:rPr>
      </w:pPr>
      <w:r w:rsidRPr="006C2FCA">
        <w:rPr>
          <w:rFonts w:ascii="Calibri" w:hAnsi="Calibri" w:cs="Calibri"/>
          <w:sz w:val="22"/>
          <w:szCs w:val="22"/>
        </w:rPr>
        <w:t xml:space="preserve">An illustrative example is provided by NAICS 312140 (Distilleries). This NAICS industry maps to ISIC 2011 (Manufacture of basic chemicals), corresponding to the Manufacturing sector, and to ISIC 1101 (Distilling, rectifying and blending of spirits), corresponding to Agribusiness. The former captures the production of </w:t>
      </w:r>
      <w:r w:rsidRPr="006C2FCA">
        <w:rPr>
          <w:rFonts w:ascii="Calibri" w:hAnsi="Calibri" w:cs="Calibri"/>
          <w:sz w:val="22"/>
          <w:szCs w:val="22"/>
        </w:rPr>
        <w:lastRenderedPageBreak/>
        <w:t xml:space="preserve">non-potable ethyl alcohol, while the latter corresponds to potable alcohol production. In the absence of data allowing employment to be disaggregated between these two activities, employment in NAICS 312140 is split evenly across sectors, assigning 50 percent to Manufacturing and 50 percent to Agribusiness. Table </w:t>
      </w:r>
      <w:r w:rsidR="00F4756D">
        <w:rPr>
          <w:rFonts w:ascii="Calibri" w:hAnsi="Calibri" w:cs="Calibri"/>
          <w:sz w:val="22"/>
          <w:szCs w:val="22"/>
        </w:rPr>
        <w:t>1</w:t>
      </w:r>
      <w:r w:rsidRPr="006C2FCA">
        <w:rPr>
          <w:rFonts w:ascii="Calibri" w:hAnsi="Calibri" w:cs="Calibri"/>
          <w:sz w:val="22"/>
          <w:szCs w:val="22"/>
        </w:rPr>
        <w:t xml:space="preserve"> illustrates this mapping and allocation procedure.</w:t>
      </w:r>
    </w:p>
    <w:p w14:paraId="5E498905" w14:textId="61711946" w:rsidR="00B057D9" w:rsidRPr="008B1E2E" w:rsidRDefault="008B1E2E" w:rsidP="006C2FCA">
      <w:pPr>
        <w:spacing w:line="240" w:lineRule="auto"/>
        <w:jc w:val="both"/>
        <w:rPr>
          <w:rFonts w:ascii="Calibri" w:hAnsi="Calibri" w:cs="Calibri"/>
          <w:i/>
          <w:iCs/>
          <w:sz w:val="22"/>
          <w:szCs w:val="22"/>
        </w:rPr>
      </w:pPr>
      <w:r w:rsidRPr="008B1E2E">
        <w:rPr>
          <w:rFonts w:ascii="Calibri" w:hAnsi="Calibri" w:cs="Calibri"/>
          <w:i/>
          <w:iCs/>
          <w:sz w:val="22"/>
          <w:szCs w:val="22"/>
        </w:rPr>
        <w:t xml:space="preserve">Table </w:t>
      </w:r>
      <w:r>
        <w:rPr>
          <w:rFonts w:ascii="Calibri" w:hAnsi="Calibri" w:cs="Calibri"/>
          <w:i/>
          <w:iCs/>
          <w:sz w:val="22"/>
          <w:szCs w:val="22"/>
        </w:rPr>
        <w:t>1</w:t>
      </w:r>
      <w:r w:rsidRPr="008B1E2E">
        <w:rPr>
          <w:rFonts w:ascii="Calibri" w:hAnsi="Calibri" w:cs="Calibri"/>
          <w:i/>
          <w:iCs/>
          <w:sz w:val="22"/>
          <w:szCs w:val="22"/>
        </w:rPr>
        <w:t>. Example of NAICS–ISIC mapping across priority sectors: Distilleries (NAICS 312140)</w:t>
      </w:r>
    </w:p>
    <w:tbl>
      <w:tblPr>
        <w:tblW w:w="9360" w:type="dxa"/>
        <w:tblCellMar>
          <w:left w:w="70" w:type="dxa"/>
          <w:right w:w="70" w:type="dxa"/>
        </w:tblCellMar>
        <w:tblLook w:val="04A0" w:firstRow="1" w:lastRow="0" w:firstColumn="1" w:lastColumn="0" w:noHBand="0" w:noVBand="1"/>
      </w:tblPr>
      <w:tblGrid>
        <w:gridCol w:w="647"/>
        <w:gridCol w:w="920"/>
        <w:gridCol w:w="578"/>
        <w:gridCol w:w="2815"/>
        <w:gridCol w:w="923"/>
        <w:gridCol w:w="1046"/>
        <w:gridCol w:w="806"/>
        <w:gridCol w:w="699"/>
        <w:gridCol w:w="926"/>
      </w:tblGrid>
      <w:tr w:rsidR="002E1415" w:rsidRPr="002E1415" w14:paraId="4C99454B" w14:textId="77777777" w:rsidTr="00B057D9">
        <w:trPr>
          <w:trHeight w:val="300"/>
        </w:trPr>
        <w:tc>
          <w:tcPr>
            <w:tcW w:w="4962" w:type="dxa"/>
            <w:gridSpan w:val="4"/>
            <w:tcBorders>
              <w:top w:val="nil"/>
              <w:left w:val="nil"/>
              <w:bottom w:val="nil"/>
              <w:right w:val="nil"/>
            </w:tcBorders>
            <w:noWrap/>
            <w:vAlign w:val="bottom"/>
            <w:hideMark/>
          </w:tcPr>
          <w:p w14:paraId="0CB5C8D5" w14:textId="77777777" w:rsidR="002E1415" w:rsidRPr="00B057D9" w:rsidRDefault="002E1415" w:rsidP="002E1415">
            <w:pPr>
              <w:spacing w:after="0" w:line="240" w:lineRule="auto"/>
              <w:rPr>
                <w:rFonts w:ascii="Arial" w:eastAsia="Times New Roman" w:hAnsi="Arial" w:cs="Arial"/>
                <w:b/>
                <w:bCs/>
                <w:color w:val="000000"/>
                <w:kern w:val="0"/>
                <w:sz w:val="16"/>
                <w:szCs w:val="16"/>
                <w:lang w:eastAsia="es-AR"/>
                <w14:ligatures w14:val="none"/>
              </w:rPr>
            </w:pPr>
            <w:r w:rsidRPr="00B057D9">
              <w:rPr>
                <w:rFonts w:ascii="Arial" w:eastAsia="Times New Roman" w:hAnsi="Arial" w:cs="Arial"/>
                <w:b/>
                <w:bCs/>
                <w:color w:val="000000"/>
                <w:kern w:val="0"/>
                <w:sz w:val="16"/>
                <w:szCs w:val="16"/>
                <w:lang w:eastAsia="es-AR"/>
                <w14:ligatures w14:val="none"/>
              </w:rPr>
              <w:t>(a) Concordance 2022 NAICS to ISIC Rev. 4</w:t>
            </w:r>
          </w:p>
        </w:tc>
        <w:tc>
          <w:tcPr>
            <w:tcW w:w="923" w:type="dxa"/>
            <w:tcBorders>
              <w:top w:val="nil"/>
              <w:left w:val="nil"/>
              <w:bottom w:val="nil"/>
              <w:right w:val="nil"/>
            </w:tcBorders>
            <w:noWrap/>
            <w:vAlign w:val="bottom"/>
            <w:hideMark/>
          </w:tcPr>
          <w:p w14:paraId="34E651DF" w14:textId="77777777" w:rsidR="002E1415" w:rsidRPr="00B057D9" w:rsidRDefault="002E1415" w:rsidP="002E1415">
            <w:pPr>
              <w:spacing w:after="0" w:line="240" w:lineRule="auto"/>
              <w:rPr>
                <w:rFonts w:ascii="Arial" w:eastAsia="Times New Roman" w:hAnsi="Arial" w:cs="Arial"/>
                <w:b/>
                <w:bCs/>
                <w:color w:val="000000"/>
                <w:kern w:val="0"/>
                <w:sz w:val="14"/>
                <w:szCs w:val="14"/>
                <w:lang w:eastAsia="es-AR"/>
                <w14:ligatures w14:val="none"/>
              </w:rPr>
            </w:pPr>
          </w:p>
        </w:tc>
        <w:tc>
          <w:tcPr>
            <w:tcW w:w="1046" w:type="dxa"/>
            <w:tcBorders>
              <w:top w:val="nil"/>
              <w:left w:val="nil"/>
              <w:bottom w:val="nil"/>
              <w:right w:val="nil"/>
            </w:tcBorders>
            <w:noWrap/>
            <w:vAlign w:val="bottom"/>
            <w:hideMark/>
          </w:tcPr>
          <w:p w14:paraId="02DF9E39"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c>
          <w:tcPr>
            <w:tcW w:w="806" w:type="dxa"/>
            <w:tcBorders>
              <w:top w:val="nil"/>
              <w:left w:val="nil"/>
              <w:bottom w:val="nil"/>
              <w:right w:val="nil"/>
            </w:tcBorders>
            <w:noWrap/>
            <w:vAlign w:val="bottom"/>
            <w:hideMark/>
          </w:tcPr>
          <w:p w14:paraId="57C5ABC0"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c>
          <w:tcPr>
            <w:tcW w:w="699" w:type="dxa"/>
            <w:tcBorders>
              <w:top w:val="nil"/>
              <w:left w:val="nil"/>
              <w:bottom w:val="nil"/>
              <w:right w:val="nil"/>
            </w:tcBorders>
            <w:noWrap/>
            <w:vAlign w:val="bottom"/>
            <w:hideMark/>
          </w:tcPr>
          <w:p w14:paraId="555AC3AF"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c>
          <w:tcPr>
            <w:tcW w:w="924" w:type="dxa"/>
            <w:tcBorders>
              <w:top w:val="nil"/>
              <w:left w:val="nil"/>
              <w:bottom w:val="nil"/>
              <w:right w:val="nil"/>
            </w:tcBorders>
            <w:noWrap/>
            <w:vAlign w:val="bottom"/>
            <w:hideMark/>
          </w:tcPr>
          <w:p w14:paraId="161206BD"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r>
      <w:tr w:rsidR="002E1415" w:rsidRPr="002E1415" w14:paraId="3EAD8499" w14:textId="77777777" w:rsidTr="00B057D9">
        <w:trPr>
          <w:trHeight w:val="300"/>
        </w:trPr>
        <w:tc>
          <w:tcPr>
            <w:tcW w:w="648" w:type="dxa"/>
            <w:tcBorders>
              <w:top w:val="nil"/>
              <w:left w:val="nil"/>
              <w:bottom w:val="nil"/>
              <w:right w:val="nil"/>
            </w:tcBorders>
            <w:noWrap/>
            <w:vAlign w:val="bottom"/>
            <w:hideMark/>
          </w:tcPr>
          <w:p w14:paraId="2F0436C6" w14:textId="77777777" w:rsidR="002E1415" w:rsidRPr="00B057D9" w:rsidRDefault="002E1415" w:rsidP="002E1415">
            <w:pPr>
              <w:spacing w:after="0" w:line="240" w:lineRule="auto"/>
              <w:rPr>
                <w:rFonts w:ascii="Arial" w:eastAsia="Times New Roman" w:hAnsi="Arial" w:cs="Arial"/>
                <w:i/>
                <w:iCs/>
                <w:color w:val="000000"/>
                <w:kern w:val="0"/>
                <w:sz w:val="15"/>
                <w:szCs w:val="15"/>
                <w:lang w:val="es-AR" w:eastAsia="es-AR"/>
                <w14:ligatures w14:val="none"/>
              </w:rPr>
            </w:pPr>
            <w:proofErr w:type="spellStart"/>
            <w:r w:rsidRPr="00B057D9">
              <w:rPr>
                <w:rFonts w:ascii="Arial" w:eastAsia="Times New Roman" w:hAnsi="Arial" w:cs="Arial"/>
                <w:i/>
                <w:iCs/>
                <w:color w:val="000000"/>
                <w:kern w:val="0"/>
                <w:sz w:val="15"/>
                <w:szCs w:val="15"/>
                <w:lang w:val="es-AR" w:eastAsia="es-AR"/>
                <w14:ligatures w14:val="none"/>
              </w:rPr>
              <w:t>naics</w:t>
            </w:r>
            <w:proofErr w:type="spellEnd"/>
          </w:p>
        </w:tc>
        <w:tc>
          <w:tcPr>
            <w:tcW w:w="920" w:type="dxa"/>
            <w:tcBorders>
              <w:top w:val="nil"/>
              <w:left w:val="nil"/>
              <w:bottom w:val="nil"/>
              <w:right w:val="nil"/>
            </w:tcBorders>
            <w:noWrap/>
            <w:vAlign w:val="bottom"/>
            <w:hideMark/>
          </w:tcPr>
          <w:p w14:paraId="4FB60C51" w14:textId="77777777" w:rsidR="002E1415" w:rsidRPr="00B057D9" w:rsidRDefault="002E1415" w:rsidP="002E1415">
            <w:pPr>
              <w:spacing w:after="0" w:line="240" w:lineRule="auto"/>
              <w:rPr>
                <w:rFonts w:ascii="Arial" w:eastAsia="Times New Roman" w:hAnsi="Arial" w:cs="Arial"/>
                <w:i/>
                <w:iCs/>
                <w:color w:val="000000"/>
                <w:kern w:val="0"/>
                <w:sz w:val="15"/>
                <w:szCs w:val="15"/>
                <w:lang w:val="es-AR" w:eastAsia="es-AR"/>
                <w14:ligatures w14:val="none"/>
              </w:rPr>
            </w:pPr>
            <w:proofErr w:type="spellStart"/>
            <w:r w:rsidRPr="00B057D9">
              <w:rPr>
                <w:rFonts w:ascii="Arial" w:eastAsia="Times New Roman" w:hAnsi="Arial" w:cs="Arial"/>
                <w:i/>
                <w:iCs/>
                <w:color w:val="000000"/>
                <w:kern w:val="0"/>
                <w:sz w:val="15"/>
                <w:szCs w:val="15"/>
                <w:lang w:val="es-AR" w:eastAsia="es-AR"/>
                <w14:ligatures w14:val="none"/>
              </w:rPr>
              <w:t>naics-title</w:t>
            </w:r>
            <w:proofErr w:type="spellEnd"/>
          </w:p>
        </w:tc>
        <w:tc>
          <w:tcPr>
            <w:tcW w:w="578" w:type="dxa"/>
            <w:tcBorders>
              <w:top w:val="nil"/>
              <w:left w:val="nil"/>
              <w:bottom w:val="nil"/>
              <w:right w:val="nil"/>
            </w:tcBorders>
            <w:noWrap/>
            <w:vAlign w:val="bottom"/>
            <w:hideMark/>
          </w:tcPr>
          <w:p w14:paraId="160356B8" w14:textId="77777777" w:rsidR="002E1415" w:rsidRPr="00B057D9" w:rsidRDefault="002E1415" w:rsidP="002E1415">
            <w:pPr>
              <w:spacing w:after="0" w:line="240" w:lineRule="auto"/>
              <w:rPr>
                <w:rFonts w:ascii="Arial" w:eastAsia="Times New Roman" w:hAnsi="Arial" w:cs="Arial"/>
                <w:i/>
                <w:iCs/>
                <w:color w:val="000000"/>
                <w:kern w:val="0"/>
                <w:sz w:val="15"/>
                <w:szCs w:val="15"/>
                <w:lang w:val="es-AR" w:eastAsia="es-AR"/>
                <w14:ligatures w14:val="none"/>
              </w:rPr>
            </w:pPr>
            <w:proofErr w:type="spellStart"/>
            <w:r w:rsidRPr="00B057D9">
              <w:rPr>
                <w:rFonts w:ascii="Arial" w:eastAsia="Times New Roman" w:hAnsi="Arial" w:cs="Arial"/>
                <w:i/>
                <w:iCs/>
                <w:color w:val="000000"/>
                <w:kern w:val="0"/>
                <w:sz w:val="15"/>
                <w:szCs w:val="15"/>
                <w:lang w:val="es-AR" w:eastAsia="es-AR"/>
                <w14:ligatures w14:val="none"/>
              </w:rPr>
              <w:t>isic</w:t>
            </w:r>
            <w:proofErr w:type="spellEnd"/>
          </w:p>
        </w:tc>
        <w:tc>
          <w:tcPr>
            <w:tcW w:w="2816" w:type="dxa"/>
            <w:tcBorders>
              <w:top w:val="nil"/>
              <w:left w:val="nil"/>
              <w:bottom w:val="nil"/>
              <w:right w:val="nil"/>
            </w:tcBorders>
            <w:noWrap/>
            <w:vAlign w:val="bottom"/>
            <w:hideMark/>
          </w:tcPr>
          <w:p w14:paraId="19229BC6"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isic-title</w:t>
            </w:r>
            <w:proofErr w:type="spellEnd"/>
          </w:p>
        </w:tc>
        <w:tc>
          <w:tcPr>
            <w:tcW w:w="923" w:type="dxa"/>
            <w:tcBorders>
              <w:top w:val="nil"/>
              <w:left w:val="nil"/>
              <w:bottom w:val="nil"/>
              <w:right w:val="nil"/>
            </w:tcBorders>
            <w:noWrap/>
            <w:vAlign w:val="bottom"/>
            <w:hideMark/>
          </w:tcPr>
          <w:p w14:paraId="5FBEC6FB"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infra_energy</w:t>
            </w:r>
            <w:proofErr w:type="spellEnd"/>
          </w:p>
        </w:tc>
        <w:tc>
          <w:tcPr>
            <w:tcW w:w="1046" w:type="dxa"/>
            <w:tcBorders>
              <w:top w:val="nil"/>
              <w:left w:val="nil"/>
              <w:bottom w:val="nil"/>
              <w:right w:val="nil"/>
            </w:tcBorders>
            <w:noWrap/>
            <w:vAlign w:val="bottom"/>
            <w:hideMark/>
          </w:tcPr>
          <w:p w14:paraId="34E47309"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manufacturing</w:t>
            </w:r>
            <w:proofErr w:type="spellEnd"/>
          </w:p>
        </w:tc>
        <w:tc>
          <w:tcPr>
            <w:tcW w:w="806" w:type="dxa"/>
            <w:tcBorders>
              <w:top w:val="nil"/>
              <w:left w:val="nil"/>
              <w:bottom w:val="nil"/>
              <w:right w:val="nil"/>
            </w:tcBorders>
            <w:noWrap/>
            <w:vAlign w:val="bottom"/>
            <w:hideMark/>
          </w:tcPr>
          <w:p w14:paraId="3B1DF0AB"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healthcare</w:t>
            </w:r>
            <w:proofErr w:type="spellEnd"/>
          </w:p>
        </w:tc>
        <w:tc>
          <w:tcPr>
            <w:tcW w:w="699" w:type="dxa"/>
            <w:tcBorders>
              <w:top w:val="nil"/>
              <w:left w:val="nil"/>
              <w:bottom w:val="nil"/>
              <w:right w:val="nil"/>
            </w:tcBorders>
            <w:noWrap/>
            <w:vAlign w:val="bottom"/>
            <w:hideMark/>
          </w:tcPr>
          <w:p w14:paraId="06A6A625"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tourism</w:t>
            </w:r>
            <w:proofErr w:type="spellEnd"/>
          </w:p>
        </w:tc>
        <w:tc>
          <w:tcPr>
            <w:tcW w:w="924" w:type="dxa"/>
            <w:tcBorders>
              <w:top w:val="nil"/>
              <w:left w:val="nil"/>
              <w:bottom w:val="nil"/>
              <w:right w:val="nil"/>
            </w:tcBorders>
            <w:noWrap/>
            <w:vAlign w:val="bottom"/>
            <w:hideMark/>
          </w:tcPr>
          <w:p w14:paraId="42407AA3"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agribusiness</w:t>
            </w:r>
            <w:proofErr w:type="spellEnd"/>
          </w:p>
        </w:tc>
      </w:tr>
      <w:tr w:rsidR="002E1415" w:rsidRPr="002E1415" w14:paraId="7F79F6B6" w14:textId="77777777" w:rsidTr="00B057D9">
        <w:trPr>
          <w:trHeight w:val="300"/>
        </w:trPr>
        <w:tc>
          <w:tcPr>
            <w:tcW w:w="648" w:type="dxa"/>
            <w:tcBorders>
              <w:top w:val="nil"/>
              <w:left w:val="nil"/>
              <w:bottom w:val="nil"/>
              <w:right w:val="nil"/>
            </w:tcBorders>
            <w:noWrap/>
            <w:vAlign w:val="bottom"/>
            <w:hideMark/>
          </w:tcPr>
          <w:p w14:paraId="21C4C311" w14:textId="77777777" w:rsidR="002E1415" w:rsidRPr="00B057D9" w:rsidRDefault="002E1415" w:rsidP="002E1415">
            <w:pPr>
              <w:spacing w:after="0" w:line="240" w:lineRule="auto"/>
              <w:jc w:val="right"/>
              <w:rPr>
                <w:rFonts w:ascii="Arial" w:eastAsia="Times New Roman" w:hAnsi="Arial" w:cs="Arial"/>
                <w:color w:val="000000"/>
                <w:kern w:val="0"/>
                <w:sz w:val="15"/>
                <w:szCs w:val="15"/>
                <w:lang w:val="es-AR" w:eastAsia="es-AR"/>
                <w14:ligatures w14:val="none"/>
              </w:rPr>
            </w:pPr>
            <w:r w:rsidRPr="00B057D9">
              <w:rPr>
                <w:rFonts w:ascii="Arial" w:eastAsia="Times New Roman" w:hAnsi="Arial" w:cs="Arial"/>
                <w:color w:val="000000"/>
                <w:kern w:val="0"/>
                <w:sz w:val="15"/>
                <w:szCs w:val="15"/>
                <w:lang w:val="es-AR" w:eastAsia="es-AR"/>
                <w14:ligatures w14:val="none"/>
              </w:rPr>
              <w:t>312140</w:t>
            </w:r>
          </w:p>
        </w:tc>
        <w:tc>
          <w:tcPr>
            <w:tcW w:w="920" w:type="dxa"/>
            <w:tcBorders>
              <w:top w:val="nil"/>
              <w:left w:val="nil"/>
              <w:bottom w:val="nil"/>
              <w:right w:val="nil"/>
            </w:tcBorders>
            <w:noWrap/>
            <w:vAlign w:val="bottom"/>
            <w:hideMark/>
          </w:tcPr>
          <w:p w14:paraId="147C22B8" w14:textId="77777777" w:rsidR="002E1415" w:rsidRPr="00B057D9" w:rsidRDefault="002E1415" w:rsidP="002E1415">
            <w:pPr>
              <w:spacing w:after="0" w:line="240" w:lineRule="auto"/>
              <w:rPr>
                <w:rFonts w:ascii="Arial" w:eastAsia="Times New Roman" w:hAnsi="Arial" w:cs="Arial"/>
                <w:color w:val="000000"/>
                <w:kern w:val="0"/>
                <w:sz w:val="15"/>
                <w:szCs w:val="15"/>
                <w:lang w:val="es-AR" w:eastAsia="es-AR"/>
                <w14:ligatures w14:val="none"/>
              </w:rPr>
            </w:pPr>
            <w:proofErr w:type="spellStart"/>
            <w:r w:rsidRPr="00B057D9">
              <w:rPr>
                <w:rFonts w:ascii="Arial" w:eastAsia="Times New Roman" w:hAnsi="Arial" w:cs="Arial"/>
                <w:color w:val="000000"/>
                <w:kern w:val="0"/>
                <w:sz w:val="15"/>
                <w:szCs w:val="15"/>
                <w:lang w:val="es-AR" w:eastAsia="es-AR"/>
                <w14:ligatures w14:val="none"/>
              </w:rPr>
              <w:t>Distilleries</w:t>
            </w:r>
            <w:proofErr w:type="spellEnd"/>
          </w:p>
        </w:tc>
        <w:tc>
          <w:tcPr>
            <w:tcW w:w="578" w:type="dxa"/>
            <w:tcBorders>
              <w:top w:val="nil"/>
              <w:left w:val="nil"/>
              <w:bottom w:val="nil"/>
              <w:right w:val="nil"/>
            </w:tcBorders>
            <w:noWrap/>
            <w:vAlign w:val="bottom"/>
            <w:hideMark/>
          </w:tcPr>
          <w:p w14:paraId="794CA184" w14:textId="77777777" w:rsidR="002E1415" w:rsidRPr="00B057D9" w:rsidRDefault="002E1415" w:rsidP="002E1415">
            <w:pPr>
              <w:spacing w:after="0" w:line="240" w:lineRule="auto"/>
              <w:jc w:val="right"/>
              <w:rPr>
                <w:rFonts w:ascii="Arial" w:eastAsia="Times New Roman" w:hAnsi="Arial" w:cs="Arial"/>
                <w:color w:val="000000"/>
                <w:kern w:val="0"/>
                <w:sz w:val="15"/>
                <w:szCs w:val="15"/>
                <w:lang w:val="es-AR" w:eastAsia="es-AR"/>
                <w14:ligatures w14:val="none"/>
              </w:rPr>
            </w:pPr>
            <w:r w:rsidRPr="00B057D9">
              <w:rPr>
                <w:rFonts w:ascii="Arial" w:eastAsia="Times New Roman" w:hAnsi="Arial" w:cs="Arial"/>
                <w:color w:val="000000"/>
                <w:kern w:val="0"/>
                <w:sz w:val="15"/>
                <w:szCs w:val="15"/>
                <w:lang w:val="es-AR" w:eastAsia="es-AR"/>
                <w14:ligatures w14:val="none"/>
              </w:rPr>
              <w:t>1101</w:t>
            </w:r>
          </w:p>
        </w:tc>
        <w:tc>
          <w:tcPr>
            <w:tcW w:w="2816" w:type="dxa"/>
            <w:tcBorders>
              <w:top w:val="nil"/>
              <w:left w:val="nil"/>
              <w:bottom w:val="nil"/>
              <w:right w:val="nil"/>
            </w:tcBorders>
            <w:noWrap/>
            <w:vAlign w:val="bottom"/>
            <w:hideMark/>
          </w:tcPr>
          <w:p w14:paraId="0BDD3965" w14:textId="77777777" w:rsidR="002E1415" w:rsidRPr="00B057D9" w:rsidRDefault="002E1415" w:rsidP="002E1415">
            <w:pPr>
              <w:spacing w:after="0" w:line="240" w:lineRule="auto"/>
              <w:rPr>
                <w:rFonts w:ascii="Arial" w:eastAsia="Times New Roman" w:hAnsi="Arial" w:cs="Arial"/>
                <w:color w:val="000000"/>
                <w:kern w:val="0"/>
                <w:sz w:val="14"/>
                <w:szCs w:val="14"/>
                <w:lang w:eastAsia="es-AR"/>
                <w14:ligatures w14:val="none"/>
              </w:rPr>
            </w:pPr>
            <w:r w:rsidRPr="00B057D9">
              <w:rPr>
                <w:rFonts w:ascii="Arial" w:eastAsia="Times New Roman" w:hAnsi="Arial" w:cs="Arial"/>
                <w:color w:val="000000"/>
                <w:kern w:val="0"/>
                <w:sz w:val="14"/>
                <w:szCs w:val="14"/>
                <w:lang w:eastAsia="es-AR"/>
                <w14:ligatures w14:val="none"/>
              </w:rPr>
              <w:t>Distilling, rectifying and blending of spirits</w:t>
            </w:r>
          </w:p>
        </w:tc>
        <w:tc>
          <w:tcPr>
            <w:tcW w:w="923" w:type="dxa"/>
            <w:tcBorders>
              <w:top w:val="nil"/>
              <w:left w:val="nil"/>
              <w:bottom w:val="nil"/>
              <w:right w:val="nil"/>
            </w:tcBorders>
            <w:noWrap/>
            <w:vAlign w:val="bottom"/>
            <w:hideMark/>
          </w:tcPr>
          <w:p w14:paraId="40EF95A8"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1046" w:type="dxa"/>
            <w:tcBorders>
              <w:top w:val="nil"/>
              <w:left w:val="nil"/>
              <w:bottom w:val="nil"/>
              <w:right w:val="nil"/>
            </w:tcBorders>
            <w:noWrap/>
            <w:vAlign w:val="bottom"/>
            <w:hideMark/>
          </w:tcPr>
          <w:p w14:paraId="424D3030"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806" w:type="dxa"/>
            <w:tcBorders>
              <w:top w:val="nil"/>
              <w:left w:val="nil"/>
              <w:bottom w:val="nil"/>
              <w:right w:val="nil"/>
            </w:tcBorders>
            <w:noWrap/>
            <w:vAlign w:val="bottom"/>
            <w:hideMark/>
          </w:tcPr>
          <w:p w14:paraId="263E7955"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699" w:type="dxa"/>
            <w:tcBorders>
              <w:top w:val="nil"/>
              <w:left w:val="nil"/>
              <w:bottom w:val="nil"/>
              <w:right w:val="nil"/>
            </w:tcBorders>
            <w:noWrap/>
            <w:vAlign w:val="bottom"/>
            <w:hideMark/>
          </w:tcPr>
          <w:p w14:paraId="45C167D4"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924" w:type="dxa"/>
            <w:tcBorders>
              <w:top w:val="nil"/>
              <w:left w:val="nil"/>
              <w:bottom w:val="nil"/>
              <w:right w:val="nil"/>
            </w:tcBorders>
            <w:noWrap/>
            <w:vAlign w:val="bottom"/>
            <w:hideMark/>
          </w:tcPr>
          <w:p w14:paraId="27B90177"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1</w:t>
            </w:r>
          </w:p>
        </w:tc>
      </w:tr>
      <w:tr w:rsidR="002E1415" w:rsidRPr="002E1415" w14:paraId="7C0A2343" w14:textId="77777777" w:rsidTr="00B057D9">
        <w:trPr>
          <w:trHeight w:val="300"/>
        </w:trPr>
        <w:tc>
          <w:tcPr>
            <w:tcW w:w="648" w:type="dxa"/>
            <w:tcBorders>
              <w:top w:val="nil"/>
              <w:left w:val="nil"/>
              <w:bottom w:val="nil"/>
              <w:right w:val="nil"/>
            </w:tcBorders>
            <w:noWrap/>
            <w:vAlign w:val="bottom"/>
            <w:hideMark/>
          </w:tcPr>
          <w:p w14:paraId="04FAA513" w14:textId="77777777" w:rsidR="002E1415" w:rsidRPr="00B057D9" w:rsidRDefault="002E1415" w:rsidP="002E1415">
            <w:pPr>
              <w:spacing w:after="0" w:line="240" w:lineRule="auto"/>
              <w:jc w:val="right"/>
              <w:rPr>
                <w:rFonts w:ascii="Arial" w:eastAsia="Times New Roman" w:hAnsi="Arial" w:cs="Arial"/>
                <w:color w:val="000000"/>
                <w:kern w:val="0"/>
                <w:sz w:val="15"/>
                <w:szCs w:val="15"/>
                <w:lang w:val="es-AR" w:eastAsia="es-AR"/>
                <w14:ligatures w14:val="none"/>
              </w:rPr>
            </w:pPr>
            <w:r w:rsidRPr="00B057D9">
              <w:rPr>
                <w:rFonts w:ascii="Arial" w:eastAsia="Times New Roman" w:hAnsi="Arial" w:cs="Arial"/>
                <w:color w:val="000000"/>
                <w:kern w:val="0"/>
                <w:sz w:val="15"/>
                <w:szCs w:val="15"/>
                <w:lang w:val="es-AR" w:eastAsia="es-AR"/>
                <w14:ligatures w14:val="none"/>
              </w:rPr>
              <w:t>312140</w:t>
            </w:r>
          </w:p>
        </w:tc>
        <w:tc>
          <w:tcPr>
            <w:tcW w:w="920" w:type="dxa"/>
            <w:tcBorders>
              <w:top w:val="nil"/>
              <w:left w:val="nil"/>
              <w:bottom w:val="nil"/>
              <w:right w:val="nil"/>
            </w:tcBorders>
            <w:noWrap/>
            <w:vAlign w:val="bottom"/>
            <w:hideMark/>
          </w:tcPr>
          <w:p w14:paraId="1E9B6E3F" w14:textId="77777777" w:rsidR="002E1415" w:rsidRPr="00B057D9" w:rsidRDefault="002E1415" w:rsidP="002E1415">
            <w:pPr>
              <w:spacing w:after="0" w:line="240" w:lineRule="auto"/>
              <w:rPr>
                <w:rFonts w:ascii="Arial" w:eastAsia="Times New Roman" w:hAnsi="Arial" w:cs="Arial"/>
                <w:color w:val="000000"/>
                <w:kern w:val="0"/>
                <w:sz w:val="15"/>
                <w:szCs w:val="15"/>
                <w:lang w:val="es-AR" w:eastAsia="es-AR"/>
                <w14:ligatures w14:val="none"/>
              </w:rPr>
            </w:pPr>
            <w:proofErr w:type="spellStart"/>
            <w:r w:rsidRPr="00B057D9">
              <w:rPr>
                <w:rFonts w:ascii="Arial" w:eastAsia="Times New Roman" w:hAnsi="Arial" w:cs="Arial"/>
                <w:color w:val="000000"/>
                <w:kern w:val="0"/>
                <w:sz w:val="15"/>
                <w:szCs w:val="15"/>
                <w:lang w:val="es-AR" w:eastAsia="es-AR"/>
                <w14:ligatures w14:val="none"/>
              </w:rPr>
              <w:t>Distilleries</w:t>
            </w:r>
            <w:proofErr w:type="spellEnd"/>
          </w:p>
        </w:tc>
        <w:tc>
          <w:tcPr>
            <w:tcW w:w="578" w:type="dxa"/>
            <w:tcBorders>
              <w:top w:val="nil"/>
              <w:left w:val="nil"/>
              <w:bottom w:val="nil"/>
              <w:right w:val="nil"/>
            </w:tcBorders>
            <w:noWrap/>
            <w:vAlign w:val="bottom"/>
            <w:hideMark/>
          </w:tcPr>
          <w:p w14:paraId="4BE11E09" w14:textId="77777777" w:rsidR="002E1415" w:rsidRPr="00B057D9" w:rsidRDefault="002E1415" w:rsidP="002E1415">
            <w:pPr>
              <w:spacing w:after="0" w:line="240" w:lineRule="auto"/>
              <w:jc w:val="right"/>
              <w:rPr>
                <w:rFonts w:ascii="Arial" w:eastAsia="Times New Roman" w:hAnsi="Arial" w:cs="Arial"/>
                <w:color w:val="000000"/>
                <w:kern w:val="0"/>
                <w:sz w:val="15"/>
                <w:szCs w:val="15"/>
                <w:lang w:val="es-AR" w:eastAsia="es-AR"/>
                <w14:ligatures w14:val="none"/>
              </w:rPr>
            </w:pPr>
            <w:r w:rsidRPr="00B057D9">
              <w:rPr>
                <w:rFonts w:ascii="Arial" w:eastAsia="Times New Roman" w:hAnsi="Arial" w:cs="Arial"/>
                <w:color w:val="000000"/>
                <w:kern w:val="0"/>
                <w:sz w:val="15"/>
                <w:szCs w:val="15"/>
                <w:lang w:val="es-AR" w:eastAsia="es-AR"/>
                <w14:ligatures w14:val="none"/>
              </w:rPr>
              <w:t>2011</w:t>
            </w:r>
          </w:p>
        </w:tc>
        <w:tc>
          <w:tcPr>
            <w:tcW w:w="2816" w:type="dxa"/>
            <w:tcBorders>
              <w:top w:val="nil"/>
              <w:left w:val="nil"/>
              <w:bottom w:val="nil"/>
              <w:right w:val="nil"/>
            </w:tcBorders>
            <w:noWrap/>
            <w:vAlign w:val="bottom"/>
            <w:hideMark/>
          </w:tcPr>
          <w:p w14:paraId="164A0D1F" w14:textId="77777777" w:rsidR="002E1415" w:rsidRPr="00B057D9" w:rsidRDefault="002E1415" w:rsidP="002E1415">
            <w:pPr>
              <w:spacing w:after="0" w:line="240" w:lineRule="auto"/>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 xml:space="preserve">Manufacture of </w:t>
            </w:r>
            <w:proofErr w:type="spellStart"/>
            <w:r w:rsidRPr="00B057D9">
              <w:rPr>
                <w:rFonts w:ascii="Arial" w:eastAsia="Times New Roman" w:hAnsi="Arial" w:cs="Arial"/>
                <w:color w:val="000000"/>
                <w:kern w:val="0"/>
                <w:sz w:val="14"/>
                <w:szCs w:val="14"/>
                <w:lang w:val="es-AR" w:eastAsia="es-AR"/>
                <w14:ligatures w14:val="none"/>
              </w:rPr>
              <w:t>basic</w:t>
            </w:r>
            <w:proofErr w:type="spellEnd"/>
            <w:r w:rsidRPr="00B057D9">
              <w:rPr>
                <w:rFonts w:ascii="Arial" w:eastAsia="Times New Roman" w:hAnsi="Arial" w:cs="Arial"/>
                <w:color w:val="000000"/>
                <w:kern w:val="0"/>
                <w:sz w:val="14"/>
                <w:szCs w:val="14"/>
                <w:lang w:val="es-AR" w:eastAsia="es-AR"/>
                <w14:ligatures w14:val="none"/>
              </w:rPr>
              <w:t xml:space="preserve"> </w:t>
            </w:r>
            <w:proofErr w:type="spellStart"/>
            <w:r w:rsidRPr="00B057D9">
              <w:rPr>
                <w:rFonts w:ascii="Arial" w:eastAsia="Times New Roman" w:hAnsi="Arial" w:cs="Arial"/>
                <w:color w:val="000000"/>
                <w:kern w:val="0"/>
                <w:sz w:val="14"/>
                <w:szCs w:val="14"/>
                <w:lang w:val="es-AR" w:eastAsia="es-AR"/>
                <w14:ligatures w14:val="none"/>
              </w:rPr>
              <w:t>chemicals</w:t>
            </w:r>
            <w:proofErr w:type="spellEnd"/>
          </w:p>
        </w:tc>
        <w:tc>
          <w:tcPr>
            <w:tcW w:w="923" w:type="dxa"/>
            <w:tcBorders>
              <w:top w:val="nil"/>
              <w:left w:val="nil"/>
              <w:bottom w:val="nil"/>
              <w:right w:val="nil"/>
            </w:tcBorders>
            <w:noWrap/>
            <w:vAlign w:val="bottom"/>
            <w:hideMark/>
          </w:tcPr>
          <w:p w14:paraId="31E62D89"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1046" w:type="dxa"/>
            <w:tcBorders>
              <w:top w:val="nil"/>
              <w:left w:val="nil"/>
              <w:bottom w:val="nil"/>
              <w:right w:val="nil"/>
            </w:tcBorders>
            <w:noWrap/>
            <w:vAlign w:val="bottom"/>
            <w:hideMark/>
          </w:tcPr>
          <w:p w14:paraId="666DC15A"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1</w:t>
            </w:r>
          </w:p>
        </w:tc>
        <w:tc>
          <w:tcPr>
            <w:tcW w:w="806" w:type="dxa"/>
            <w:tcBorders>
              <w:top w:val="nil"/>
              <w:left w:val="nil"/>
              <w:bottom w:val="nil"/>
              <w:right w:val="nil"/>
            </w:tcBorders>
            <w:noWrap/>
            <w:vAlign w:val="bottom"/>
            <w:hideMark/>
          </w:tcPr>
          <w:p w14:paraId="1B9F78B5"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699" w:type="dxa"/>
            <w:tcBorders>
              <w:top w:val="nil"/>
              <w:left w:val="nil"/>
              <w:bottom w:val="nil"/>
              <w:right w:val="nil"/>
            </w:tcBorders>
            <w:noWrap/>
            <w:vAlign w:val="bottom"/>
            <w:hideMark/>
          </w:tcPr>
          <w:p w14:paraId="4FE67784"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924" w:type="dxa"/>
            <w:tcBorders>
              <w:top w:val="nil"/>
              <w:left w:val="nil"/>
              <w:bottom w:val="nil"/>
              <w:right w:val="nil"/>
            </w:tcBorders>
            <w:noWrap/>
            <w:vAlign w:val="bottom"/>
            <w:hideMark/>
          </w:tcPr>
          <w:p w14:paraId="5783F2E5"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r>
      <w:tr w:rsidR="002E1415" w:rsidRPr="002E1415" w14:paraId="1B98924A" w14:textId="77777777" w:rsidTr="00B057D9">
        <w:trPr>
          <w:trHeight w:val="300"/>
        </w:trPr>
        <w:tc>
          <w:tcPr>
            <w:tcW w:w="648" w:type="dxa"/>
            <w:tcBorders>
              <w:top w:val="nil"/>
              <w:left w:val="nil"/>
              <w:bottom w:val="nil"/>
              <w:right w:val="nil"/>
            </w:tcBorders>
            <w:noWrap/>
            <w:vAlign w:val="bottom"/>
            <w:hideMark/>
          </w:tcPr>
          <w:p w14:paraId="2BF7CD02" w14:textId="77777777" w:rsidR="002E1415" w:rsidRPr="00B057D9" w:rsidRDefault="002E1415" w:rsidP="002E1415">
            <w:pPr>
              <w:spacing w:after="0" w:line="240" w:lineRule="auto"/>
              <w:jc w:val="right"/>
              <w:rPr>
                <w:rFonts w:ascii="Arial" w:eastAsia="Times New Roman" w:hAnsi="Arial" w:cs="Arial"/>
                <w:color w:val="000000"/>
                <w:kern w:val="0"/>
                <w:sz w:val="15"/>
                <w:szCs w:val="15"/>
                <w:lang w:val="es-AR" w:eastAsia="es-AR"/>
                <w14:ligatures w14:val="none"/>
              </w:rPr>
            </w:pPr>
          </w:p>
        </w:tc>
        <w:tc>
          <w:tcPr>
            <w:tcW w:w="920" w:type="dxa"/>
            <w:tcBorders>
              <w:top w:val="nil"/>
              <w:left w:val="nil"/>
              <w:bottom w:val="nil"/>
              <w:right w:val="nil"/>
            </w:tcBorders>
            <w:noWrap/>
            <w:vAlign w:val="bottom"/>
            <w:hideMark/>
          </w:tcPr>
          <w:p w14:paraId="5C808F61" w14:textId="77777777" w:rsidR="002E1415" w:rsidRPr="00B057D9" w:rsidRDefault="002E1415" w:rsidP="002E1415">
            <w:pPr>
              <w:spacing w:after="0" w:line="240" w:lineRule="auto"/>
              <w:rPr>
                <w:rFonts w:ascii="Arial" w:eastAsia="Times New Roman" w:hAnsi="Arial" w:cs="Arial"/>
                <w:kern w:val="0"/>
                <w:sz w:val="15"/>
                <w:szCs w:val="15"/>
                <w:lang w:val="es-AR" w:eastAsia="es-AR"/>
                <w14:ligatures w14:val="none"/>
              </w:rPr>
            </w:pPr>
          </w:p>
        </w:tc>
        <w:tc>
          <w:tcPr>
            <w:tcW w:w="578" w:type="dxa"/>
            <w:tcBorders>
              <w:top w:val="nil"/>
              <w:left w:val="nil"/>
              <w:bottom w:val="nil"/>
              <w:right w:val="nil"/>
            </w:tcBorders>
            <w:noWrap/>
            <w:vAlign w:val="bottom"/>
            <w:hideMark/>
          </w:tcPr>
          <w:p w14:paraId="4B096B48" w14:textId="77777777" w:rsidR="002E1415" w:rsidRPr="00B057D9" w:rsidRDefault="002E1415" w:rsidP="002E1415">
            <w:pPr>
              <w:spacing w:after="0" w:line="240" w:lineRule="auto"/>
              <w:rPr>
                <w:rFonts w:ascii="Arial" w:eastAsia="Times New Roman" w:hAnsi="Arial" w:cs="Arial"/>
                <w:kern w:val="0"/>
                <w:sz w:val="15"/>
                <w:szCs w:val="15"/>
                <w:lang w:val="es-AR" w:eastAsia="es-AR"/>
                <w14:ligatures w14:val="none"/>
              </w:rPr>
            </w:pPr>
          </w:p>
        </w:tc>
        <w:tc>
          <w:tcPr>
            <w:tcW w:w="2816" w:type="dxa"/>
            <w:tcBorders>
              <w:top w:val="nil"/>
              <w:left w:val="nil"/>
              <w:bottom w:val="nil"/>
              <w:right w:val="nil"/>
            </w:tcBorders>
            <w:noWrap/>
            <w:vAlign w:val="bottom"/>
            <w:hideMark/>
          </w:tcPr>
          <w:p w14:paraId="43658A57"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c>
          <w:tcPr>
            <w:tcW w:w="923" w:type="dxa"/>
            <w:tcBorders>
              <w:top w:val="nil"/>
              <w:left w:val="nil"/>
              <w:bottom w:val="nil"/>
              <w:right w:val="nil"/>
            </w:tcBorders>
            <w:noWrap/>
            <w:vAlign w:val="bottom"/>
            <w:hideMark/>
          </w:tcPr>
          <w:p w14:paraId="2978F5A3"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c>
          <w:tcPr>
            <w:tcW w:w="1046" w:type="dxa"/>
            <w:tcBorders>
              <w:top w:val="nil"/>
              <w:left w:val="nil"/>
              <w:bottom w:val="nil"/>
              <w:right w:val="nil"/>
            </w:tcBorders>
            <w:noWrap/>
            <w:vAlign w:val="bottom"/>
            <w:hideMark/>
          </w:tcPr>
          <w:p w14:paraId="20743360"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c>
          <w:tcPr>
            <w:tcW w:w="806" w:type="dxa"/>
            <w:tcBorders>
              <w:top w:val="nil"/>
              <w:left w:val="nil"/>
              <w:bottom w:val="nil"/>
              <w:right w:val="nil"/>
            </w:tcBorders>
            <w:noWrap/>
            <w:vAlign w:val="bottom"/>
            <w:hideMark/>
          </w:tcPr>
          <w:p w14:paraId="24E3B674"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c>
          <w:tcPr>
            <w:tcW w:w="699" w:type="dxa"/>
            <w:tcBorders>
              <w:top w:val="nil"/>
              <w:left w:val="nil"/>
              <w:bottom w:val="nil"/>
              <w:right w:val="nil"/>
            </w:tcBorders>
            <w:noWrap/>
            <w:vAlign w:val="bottom"/>
            <w:hideMark/>
          </w:tcPr>
          <w:p w14:paraId="4EDB4C0B"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c>
          <w:tcPr>
            <w:tcW w:w="924" w:type="dxa"/>
            <w:tcBorders>
              <w:top w:val="nil"/>
              <w:left w:val="nil"/>
              <w:bottom w:val="nil"/>
              <w:right w:val="nil"/>
            </w:tcBorders>
            <w:noWrap/>
            <w:vAlign w:val="bottom"/>
            <w:hideMark/>
          </w:tcPr>
          <w:p w14:paraId="4E011BE9"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r>
      <w:tr w:rsidR="002E1415" w:rsidRPr="002E1415" w14:paraId="1C027B8D" w14:textId="77777777" w:rsidTr="00B057D9">
        <w:trPr>
          <w:trHeight w:val="300"/>
        </w:trPr>
        <w:tc>
          <w:tcPr>
            <w:tcW w:w="4962" w:type="dxa"/>
            <w:gridSpan w:val="4"/>
            <w:tcBorders>
              <w:top w:val="nil"/>
              <w:left w:val="nil"/>
              <w:bottom w:val="nil"/>
              <w:right w:val="nil"/>
            </w:tcBorders>
            <w:noWrap/>
            <w:vAlign w:val="bottom"/>
            <w:hideMark/>
          </w:tcPr>
          <w:p w14:paraId="4730CFCA" w14:textId="77777777" w:rsidR="002E1415" w:rsidRPr="00B057D9" w:rsidRDefault="002E1415" w:rsidP="002E1415">
            <w:pPr>
              <w:spacing w:after="0" w:line="240" w:lineRule="auto"/>
              <w:rPr>
                <w:rFonts w:ascii="Arial" w:eastAsia="Times New Roman" w:hAnsi="Arial" w:cs="Arial"/>
                <w:b/>
                <w:bCs/>
                <w:color w:val="000000"/>
                <w:kern w:val="0"/>
                <w:sz w:val="16"/>
                <w:szCs w:val="16"/>
                <w:lang w:eastAsia="es-AR"/>
                <w14:ligatures w14:val="none"/>
              </w:rPr>
            </w:pPr>
            <w:r w:rsidRPr="00B057D9">
              <w:rPr>
                <w:rFonts w:ascii="Arial" w:eastAsia="Times New Roman" w:hAnsi="Arial" w:cs="Arial"/>
                <w:b/>
                <w:bCs/>
                <w:color w:val="000000"/>
                <w:kern w:val="0"/>
                <w:sz w:val="16"/>
                <w:szCs w:val="16"/>
                <w:lang w:eastAsia="es-AR"/>
                <w14:ligatures w14:val="none"/>
              </w:rPr>
              <w:t>(b) Priority sector definition at NAICS 6-digit level</w:t>
            </w:r>
          </w:p>
        </w:tc>
        <w:tc>
          <w:tcPr>
            <w:tcW w:w="923" w:type="dxa"/>
            <w:tcBorders>
              <w:top w:val="nil"/>
              <w:left w:val="nil"/>
              <w:bottom w:val="nil"/>
              <w:right w:val="nil"/>
            </w:tcBorders>
            <w:noWrap/>
            <w:vAlign w:val="bottom"/>
            <w:hideMark/>
          </w:tcPr>
          <w:p w14:paraId="36A046FC" w14:textId="77777777" w:rsidR="002E1415" w:rsidRPr="00B057D9" w:rsidRDefault="002E1415" w:rsidP="002E1415">
            <w:pPr>
              <w:spacing w:after="0" w:line="240" w:lineRule="auto"/>
              <w:rPr>
                <w:rFonts w:ascii="Arial" w:eastAsia="Times New Roman" w:hAnsi="Arial" w:cs="Arial"/>
                <w:b/>
                <w:bCs/>
                <w:color w:val="000000"/>
                <w:kern w:val="0"/>
                <w:sz w:val="14"/>
                <w:szCs w:val="14"/>
                <w:lang w:eastAsia="es-AR"/>
                <w14:ligatures w14:val="none"/>
              </w:rPr>
            </w:pPr>
          </w:p>
        </w:tc>
        <w:tc>
          <w:tcPr>
            <w:tcW w:w="1046" w:type="dxa"/>
            <w:tcBorders>
              <w:top w:val="nil"/>
              <w:left w:val="nil"/>
              <w:bottom w:val="nil"/>
              <w:right w:val="nil"/>
            </w:tcBorders>
            <w:noWrap/>
            <w:vAlign w:val="bottom"/>
            <w:hideMark/>
          </w:tcPr>
          <w:p w14:paraId="3DCFF9C7"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c>
          <w:tcPr>
            <w:tcW w:w="806" w:type="dxa"/>
            <w:tcBorders>
              <w:top w:val="nil"/>
              <w:left w:val="nil"/>
              <w:bottom w:val="nil"/>
              <w:right w:val="nil"/>
            </w:tcBorders>
            <w:noWrap/>
            <w:vAlign w:val="bottom"/>
            <w:hideMark/>
          </w:tcPr>
          <w:p w14:paraId="6EAE2507"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c>
          <w:tcPr>
            <w:tcW w:w="699" w:type="dxa"/>
            <w:tcBorders>
              <w:top w:val="nil"/>
              <w:left w:val="nil"/>
              <w:bottom w:val="nil"/>
              <w:right w:val="nil"/>
            </w:tcBorders>
            <w:noWrap/>
            <w:vAlign w:val="bottom"/>
            <w:hideMark/>
          </w:tcPr>
          <w:p w14:paraId="29CF604D"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c>
          <w:tcPr>
            <w:tcW w:w="924" w:type="dxa"/>
            <w:tcBorders>
              <w:top w:val="nil"/>
              <w:left w:val="nil"/>
              <w:bottom w:val="nil"/>
              <w:right w:val="nil"/>
            </w:tcBorders>
            <w:noWrap/>
            <w:vAlign w:val="bottom"/>
            <w:hideMark/>
          </w:tcPr>
          <w:p w14:paraId="13AE2D09"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r>
      <w:tr w:rsidR="002E1415" w:rsidRPr="002E1415" w14:paraId="10AFA09B" w14:textId="77777777" w:rsidTr="00B057D9">
        <w:trPr>
          <w:trHeight w:val="300"/>
        </w:trPr>
        <w:tc>
          <w:tcPr>
            <w:tcW w:w="648" w:type="dxa"/>
            <w:tcBorders>
              <w:top w:val="nil"/>
              <w:left w:val="nil"/>
              <w:bottom w:val="nil"/>
              <w:right w:val="nil"/>
            </w:tcBorders>
            <w:noWrap/>
            <w:vAlign w:val="bottom"/>
            <w:hideMark/>
          </w:tcPr>
          <w:p w14:paraId="264A9C6D" w14:textId="77777777" w:rsidR="002E1415" w:rsidRPr="00B057D9" w:rsidRDefault="002E1415" w:rsidP="002E1415">
            <w:pPr>
              <w:spacing w:after="0" w:line="240" w:lineRule="auto"/>
              <w:rPr>
                <w:rFonts w:ascii="Arial" w:eastAsia="Times New Roman" w:hAnsi="Arial" w:cs="Arial"/>
                <w:i/>
                <w:iCs/>
                <w:color w:val="000000"/>
                <w:kern w:val="0"/>
                <w:sz w:val="15"/>
                <w:szCs w:val="15"/>
                <w:lang w:val="es-AR" w:eastAsia="es-AR"/>
                <w14:ligatures w14:val="none"/>
              </w:rPr>
            </w:pPr>
            <w:proofErr w:type="spellStart"/>
            <w:r w:rsidRPr="00B057D9">
              <w:rPr>
                <w:rFonts w:ascii="Arial" w:eastAsia="Times New Roman" w:hAnsi="Arial" w:cs="Arial"/>
                <w:i/>
                <w:iCs/>
                <w:color w:val="000000"/>
                <w:kern w:val="0"/>
                <w:sz w:val="15"/>
                <w:szCs w:val="15"/>
                <w:lang w:val="es-AR" w:eastAsia="es-AR"/>
                <w14:ligatures w14:val="none"/>
              </w:rPr>
              <w:t>naics</w:t>
            </w:r>
            <w:proofErr w:type="spellEnd"/>
          </w:p>
        </w:tc>
        <w:tc>
          <w:tcPr>
            <w:tcW w:w="920" w:type="dxa"/>
            <w:tcBorders>
              <w:top w:val="nil"/>
              <w:left w:val="nil"/>
              <w:bottom w:val="nil"/>
              <w:right w:val="nil"/>
            </w:tcBorders>
            <w:noWrap/>
            <w:vAlign w:val="bottom"/>
            <w:hideMark/>
          </w:tcPr>
          <w:p w14:paraId="175FD106" w14:textId="77777777" w:rsidR="002E1415" w:rsidRPr="00B057D9" w:rsidRDefault="002E1415" w:rsidP="002E1415">
            <w:pPr>
              <w:spacing w:after="0" w:line="240" w:lineRule="auto"/>
              <w:rPr>
                <w:rFonts w:ascii="Arial" w:eastAsia="Times New Roman" w:hAnsi="Arial" w:cs="Arial"/>
                <w:i/>
                <w:iCs/>
                <w:color w:val="000000"/>
                <w:kern w:val="0"/>
                <w:sz w:val="15"/>
                <w:szCs w:val="15"/>
                <w:lang w:val="es-AR" w:eastAsia="es-AR"/>
                <w14:ligatures w14:val="none"/>
              </w:rPr>
            </w:pPr>
            <w:proofErr w:type="spellStart"/>
            <w:r w:rsidRPr="00B057D9">
              <w:rPr>
                <w:rFonts w:ascii="Arial" w:eastAsia="Times New Roman" w:hAnsi="Arial" w:cs="Arial"/>
                <w:i/>
                <w:iCs/>
                <w:color w:val="000000"/>
                <w:kern w:val="0"/>
                <w:sz w:val="15"/>
                <w:szCs w:val="15"/>
                <w:lang w:val="es-AR" w:eastAsia="es-AR"/>
                <w14:ligatures w14:val="none"/>
              </w:rPr>
              <w:t>naics-title</w:t>
            </w:r>
            <w:proofErr w:type="spellEnd"/>
          </w:p>
        </w:tc>
        <w:tc>
          <w:tcPr>
            <w:tcW w:w="578" w:type="dxa"/>
            <w:tcBorders>
              <w:top w:val="nil"/>
              <w:left w:val="nil"/>
              <w:bottom w:val="nil"/>
              <w:right w:val="nil"/>
            </w:tcBorders>
            <w:noWrap/>
            <w:vAlign w:val="bottom"/>
            <w:hideMark/>
          </w:tcPr>
          <w:p w14:paraId="51E29B56" w14:textId="77777777" w:rsidR="002E1415" w:rsidRPr="00B057D9" w:rsidRDefault="002E1415" w:rsidP="002E1415">
            <w:pPr>
              <w:spacing w:after="0" w:line="240" w:lineRule="auto"/>
              <w:rPr>
                <w:rFonts w:ascii="Arial" w:eastAsia="Times New Roman" w:hAnsi="Arial" w:cs="Arial"/>
                <w:i/>
                <w:iCs/>
                <w:color w:val="000000"/>
                <w:kern w:val="0"/>
                <w:sz w:val="15"/>
                <w:szCs w:val="15"/>
                <w:lang w:val="es-AR" w:eastAsia="es-AR"/>
                <w14:ligatures w14:val="none"/>
              </w:rPr>
            </w:pPr>
          </w:p>
        </w:tc>
        <w:tc>
          <w:tcPr>
            <w:tcW w:w="2816" w:type="dxa"/>
            <w:tcBorders>
              <w:top w:val="nil"/>
              <w:left w:val="nil"/>
              <w:bottom w:val="nil"/>
              <w:right w:val="nil"/>
            </w:tcBorders>
            <w:noWrap/>
            <w:vAlign w:val="bottom"/>
            <w:hideMark/>
          </w:tcPr>
          <w:p w14:paraId="7D6E0901" w14:textId="77777777" w:rsidR="002E1415" w:rsidRPr="00B057D9" w:rsidRDefault="002E1415" w:rsidP="002E1415">
            <w:pPr>
              <w:spacing w:after="0" w:line="240" w:lineRule="auto"/>
              <w:rPr>
                <w:rFonts w:ascii="Arial" w:eastAsia="Times New Roman" w:hAnsi="Arial" w:cs="Arial"/>
                <w:i/>
                <w:iCs/>
                <w:kern w:val="0"/>
                <w:sz w:val="14"/>
                <w:szCs w:val="14"/>
                <w:lang w:val="es-AR" w:eastAsia="es-AR"/>
                <w14:ligatures w14:val="none"/>
              </w:rPr>
            </w:pPr>
          </w:p>
        </w:tc>
        <w:tc>
          <w:tcPr>
            <w:tcW w:w="923" w:type="dxa"/>
            <w:tcBorders>
              <w:top w:val="nil"/>
              <w:left w:val="nil"/>
              <w:bottom w:val="nil"/>
              <w:right w:val="nil"/>
            </w:tcBorders>
            <w:noWrap/>
            <w:vAlign w:val="bottom"/>
            <w:hideMark/>
          </w:tcPr>
          <w:p w14:paraId="015C789B"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infra_energy</w:t>
            </w:r>
            <w:proofErr w:type="spellEnd"/>
          </w:p>
        </w:tc>
        <w:tc>
          <w:tcPr>
            <w:tcW w:w="1046" w:type="dxa"/>
            <w:tcBorders>
              <w:top w:val="nil"/>
              <w:left w:val="nil"/>
              <w:bottom w:val="nil"/>
              <w:right w:val="nil"/>
            </w:tcBorders>
            <w:noWrap/>
            <w:vAlign w:val="bottom"/>
            <w:hideMark/>
          </w:tcPr>
          <w:p w14:paraId="538B94EB"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manufacturing</w:t>
            </w:r>
            <w:proofErr w:type="spellEnd"/>
          </w:p>
        </w:tc>
        <w:tc>
          <w:tcPr>
            <w:tcW w:w="806" w:type="dxa"/>
            <w:tcBorders>
              <w:top w:val="nil"/>
              <w:left w:val="nil"/>
              <w:bottom w:val="nil"/>
              <w:right w:val="nil"/>
            </w:tcBorders>
            <w:noWrap/>
            <w:vAlign w:val="bottom"/>
            <w:hideMark/>
          </w:tcPr>
          <w:p w14:paraId="2CDCE792"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healthcare</w:t>
            </w:r>
            <w:proofErr w:type="spellEnd"/>
          </w:p>
        </w:tc>
        <w:tc>
          <w:tcPr>
            <w:tcW w:w="699" w:type="dxa"/>
            <w:tcBorders>
              <w:top w:val="nil"/>
              <w:left w:val="nil"/>
              <w:bottom w:val="nil"/>
              <w:right w:val="nil"/>
            </w:tcBorders>
            <w:noWrap/>
            <w:vAlign w:val="bottom"/>
            <w:hideMark/>
          </w:tcPr>
          <w:p w14:paraId="31AC9612"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tourism</w:t>
            </w:r>
            <w:proofErr w:type="spellEnd"/>
          </w:p>
        </w:tc>
        <w:tc>
          <w:tcPr>
            <w:tcW w:w="924" w:type="dxa"/>
            <w:tcBorders>
              <w:top w:val="nil"/>
              <w:left w:val="nil"/>
              <w:bottom w:val="nil"/>
              <w:right w:val="nil"/>
            </w:tcBorders>
            <w:noWrap/>
            <w:vAlign w:val="bottom"/>
            <w:hideMark/>
          </w:tcPr>
          <w:p w14:paraId="4505F5B3"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agribusiness</w:t>
            </w:r>
            <w:proofErr w:type="spellEnd"/>
          </w:p>
        </w:tc>
      </w:tr>
      <w:tr w:rsidR="002E1415" w:rsidRPr="002E1415" w14:paraId="451F8AF5" w14:textId="77777777" w:rsidTr="00B057D9">
        <w:trPr>
          <w:trHeight w:val="300"/>
        </w:trPr>
        <w:tc>
          <w:tcPr>
            <w:tcW w:w="648" w:type="dxa"/>
            <w:tcBorders>
              <w:top w:val="nil"/>
              <w:left w:val="nil"/>
              <w:bottom w:val="nil"/>
              <w:right w:val="nil"/>
            </w:tcBorders>
            <w:noWrap/>
            <w:vAlign w:val="bottom"/>
            <w:hideMark/>
          </w:tcPr>
          <w:p w14:paraId="3CB12636" w14:textId="77777777" w:rsidR="002E1415" w:rsidRPr="00B057D9" w:rsidRDefault="002E1415" w:rsidP="002E1415">
            <w:pPr>
              <w:spacing w:after="0" w:line="240" w:lineRule="auto"/>
              <w:jc w:val="right"/>
              <w:rPr>
                <w:rFonts w:ascii="Arial" w:eastAsia="Times New Roman" w:hAnsi="Arial" w:cs="Arial"/>
                <w:color w:val="000000"/>
                <w:kern w:val="0"/>
                <w:sz w:val="15"/>
                <w:szCs w:val="15"/>
                <w:lang w:val="es-AR" w:eastAsia="es-AR"/>
                <w14:ligatures w14:val="none"/>
              </w:rPr>
            </w:pPr>
            <w:r w:rsidRPr="00B057D9">
              <w:rPr>
                <w:rFonts w:ascii="Arial" w:eastAsia="Times New Roman" w:hAnsi="Arial" w:cs="Arial"/>
                <w:color w:val="000000"/>
                <w:kern w:val="0"/>
                <w:sz w:val="15"/>
                <w:szCs w:val="15"/>
                <w:lang w:val="es-AR" w:eastAsia="es-AR"/>
                <w14:ligatures w14:val="none"/>
              </w:rPr>
              <w:t>312140</w:t>
            </w:r>
          </w:p>
        </w:tc>
        <w:tc>
          <w:tcPr>
            <w:tcW w:w="920" w:type="dxa"/>
            <w:tcBorders>
              <w:top w:val="nil"/>
              <w:left w:val="nil"/>
              <w:bottom w:val="nil"/>
              <w:right w:val="nil"/>
            </w:tcBorders>
            <w:noWrap/>
            <w:vAlign w:val="bottom"/>
            <w:hideMark/>
          </w:tcPr>
          <w:p w14:paraId="7313BF87" w14:textId="77777777" w:rsidR="002E1415" w:rsidRPr="00B057D9" w:rsidRDefault="002E1415" w:rsidP="002E1415">
            <w:pPr>
              <w:spacing w:after="0" w:line="240" w:lineRule="auto"/>
              <w:rPr>
                <w:rFonts w:ascii="Arial" w:eastAsia="Times New Roman" w:hAnsi="Arial" w:cs="Arial"/>
                <w:color w:val="000000"/>
                <w:kern w:val="0"/>
                <w:sz w:val="15"/>
                <w:szCs w:val="15"/>
                <w:lang w:val="es-AR" w:eastAsia="es-AR"/>
                <w14:ligatures w14:val="none"/>
              </w:rPr>
            </w:pPr>
            <w:proofErr w:type="spellStart"/>
            <w:r w:rsidRPr="00B057D9">
              <w:rPr>
                <w:rFonts w:ascii="Arial" w:eastAsia="Times New Roman" w:hAnsi="Arial" w:cs="Arial"/>
                <w:color w:val="000000"/>
                <w:kern w:val="0"/>
                <w:sz w:val="15"/>
                <w:szCs w:val="15"/>
                <w:lang w:val="es-AR" w:eastAsia="es-AR"/>
                <w14:ligatures w14:val="none"/>
              </w:rPr>
              <w:t>Distilleries</w:t>
            </w:r>
            <w:proofErr w:type="spellEnd"/>
          </w:p>
        </w:tc>
        <w:tc>
          <w:tcPr>
            <w:tcW w:w="578" w:type="dxa"/>
            <w:tcBorders>
              <w:top w:val="nil"/>
              <w:left w:val="nil"/>
              <w:bottom w:val="nil"/>
              <w:right w:val="nil"/>
            </w:tcBorders>
            <w:noWrap/>
            <w:vAlign w:val="bottom"/>
            <w:hideMark/>
          </w:tcPr>
          <w:p w14:paraId="57A79D0C" w14:textId="77777777" w:rsidR="002E1415" w:rsidRPr="00B057D9" w:rsidRDefault="002E1415" w:rsidP="002E1415">
            <w:pPr>
              <w:spacing w:after="0" w:line="240" w:lineRule="auto"/>
              <w:rPr>
                <w:rFonts w:ascii="Arial" w:eastAsia="Times New Roman" w:hAnsi="Arial" w:cs="Arial"/>
                <w:color w:val="000000"/>
                <w:kern w:val="0"/>
                <w:sz w:val="15"/>
                <w:szCs w:val="15"/>
                <w:lang w:val="es-AR" w:eastAsia="es-AR"/>
                <w14:ligatures w14:val="none"/>
              </w:rPr>
            </w:pPr>
          </w:p>
        </w:tc>
        <w:tc>
          <w:tcPr>
            <w:tcW w:w="2816" w:type="dxa"/>
            <w:tcBorders>
              <w:top w:val="nil"/>
              <w:left w:val="nil"/>
              <w:bottom w:val="nil"/>
              <w:right w:val="nil"/>
            </w:tcBorders>
            <w:noWrap/>
            <w:vAlign w:val="bottom"/>
            <w:hideMark/>
          </w:tcPr>
          <w:p w14:paraId="5440AAB4"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c>
          <w:tcPr>
            <w:tcW w:w="923" w:type="dxa"/>
            <w:tcBorders>
              <w:top w:val="nil"/>
              <w:left w:val="nil"/>
              <w:bottom w:val="nil"/>
              <w:right w:val="nil"/>
            </w:tcBorders>
            <w:noWrap/>
            <w:vAlign w:val="bottom"/>
            <w:hideMark/>
          </w:tcPr>
          <w:p w14:paraId="4FE190F5"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1046" w:type="dxa"/>
            <w:tcBorders>
              <w:top w:val="nil"/>
              <w:left w:val="nil"/>
              <w:bottom w:val="nil"/>
              <w:right w:val="nil"/>
            </w:tcBorders>
            <w:noWrap/>
            <w:vAlign w:val="bottom"/>
            <w:hideMark/>
          </w:tcPr>
          <w:p w14:paraId="1B82F17B"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0.5</w:t>
            </w:r>
          </w:p>
        </w:tc>
        <w:tc>
          <w:tcPr>
            <w:tcW w:w="806" w:type="dxa"/>
            <w:tcBorders>
              <w:top w:val="nil"/>
              <w:left w:val="nil"/>
              <w:bottom w:val="nil"/>
              <w:right w:val="nil"/>
            </w:tcBorders>
            <w:noWrap/>
            <w:vAlign w:val="bottom"/>
            <w:hideMark/>
          </w:tcPr>
          <w:p w14:paraId="0976B36F"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699" w:type="dxa"/>
            <w:tcBorders>
              <w:top w:val="nil"/>
              <w:left w:val="nil"/>
              <w:bottom w:val="nil"/>
              <w:right w:val="nil"/>
            </w:tcBorders>
            <w:noWrap/>
            <w:vAlign w:val="bottom"/>
            <w:hideMark/>
          </w:tcPr>
          <w:p w14:paraId="29CE6232"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924" w:type="dxa"/>
            <w:tcBorders>
              <w:top w:val="nil"/>
              <w:left w:val="nil"/>
              <w:bottom w:val="nil"/>
              <w:right w:val="nil"/>
            </w:tcBorders>
            <w:noWrap/>
            <w:vAlign w:val="bottom"/>
            <w:hideMark/>
          </w:tcPr>
          <w:p w14:paraId="6D99ECD5"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0.5</w:t>
            </w:r>
          </w:p>
        </w:tc>
      </w:tr>
    </w:tbl>
    <w:p w14:paraId="72251C12" w14:textId="6E7FAAD1" w:rsidR="006C2FCA" w:rsidRPr="006C2FCA" w:rsidRDefault="006C2FCA" w:rsidP="006C2FCA">
      <w:pPr>
        <w:spacing w:line="240" w:lineRule="auto"/>
        <w:jc w:val="both"/>
        <w:rPr>
          <w:rFonts w:ascii="Calibri" w:hAnsi="Calibri" w:cs="Calibri"/>
          <w:sz w:val="22"/>
          <w:szCs w:val="22"/>
        </w:rPr>
      </w:pPr>
    </w:p>
    <w:p w14:paraId="093AC70F" w14:textId="4181FFDA" w:rsidR="003F7B51" w:rsidRDefault="006D32B9" w:rsidP="00073842">
      <w:pPr>
        <w:spacing w:line="240" w:lineRule="auto"/>
        <w:jc w:val="both"/>
        <w:rPr>
          <w:rFonts w:ascii="Calibri" w:hAnsi="Calibri" w:cs="Calibri"/>
          <w:sz w:val="22"/>
          <w:szCs w:val="22"/>
        </w:rPr>
      </w:pPr>
      <w:r w:rsidRPr="006D32B9">
        <w:rPr>
          <w:rFonts w:ascii="Calibri" w:hAnsi="Calibri" w:cs="Calibri"/>
          <w:sz w:val="22"/>
          <w:szCs w:val="22"/>
        </w:rPr>
        <w:t>Applying this approach across all NAICS industries results in a set of priority sector identifiers at the NAICS 6-digit level, expressed as sector-specific employment shares that sum to one once the residual (“rest”) sector is included for each NAICS industry. These identifiers constitute the basis for linking NAICS industries to priority sectors in subsequent steps of the analysis, including the mapping of industries to occupations using the U.S. National Employment Matrix.</w:t>
      </w:r>
    </w:p>
    <w:p w14:paraId="5545B89E" w14:textId="16F456DF" w:rsidR="00073842" w:rsidRPr="005F454B" w:rsidRDefault="00073842" w:rsidP="005F454B">
      <w:pPr>
        <w:pStyle w:val="ListParagraph"/>
        <w:numPr>
          <w:ilvl w:val="1"/>
          <w:numId w:val="48"/>
        </w:numPr>
        <w:spacing w:line="240" w:lineRule="auto"/>
        <w:jc w:val="both"/>
        <w:rPr>
          <w:rFonts w:ascii="Calibri" w:hAnsi="Calibri" w:cs="Calibri"/>
          <w:b/>
          <w:bCs/>
          <w:i/>
          <w:iCs/>
          <w:sz w:val="22"/>
          <w:szCs w:val="22"/>
          <w:u w:val="single"/>
        </w:rPr>
      </w:pPr>
      <w:r w:rsidRPr="005F454B">
        <w:rPr>
          <w:rFonts w:ascii="Calibri" w:hAnsi="Calibri" w:cs="Calibri"/>
          <w:b/>
          <w:bCs/>
          <w:i/>
          <w:iCs/>
          <w:sz w:val="22"/>
          <w:szCs w:val="22"/>
          <w:u w:val="single"/>
        </w:rPr>
        <w:t>Occupation mapping using employment data</w:t>
      </w:r>
    </w:p>
    <w:p w14:paraId="427EFA28" w14:textId="77777777" w:rsidR="00466055" w:rsidRPr="00466055" w:rsidRDefault="00466055" w:rsidP="00466055">
      <w:pPr>
        <w:spacing w:line="240" w:lineRule="auto"/>
        <w:jc w:val="both"/>
        <w:rPr>
          <w:rFonts w:ascii="Calibri" w:hAnsi="Calibri" w:cs="Calibri"/>
          <w:sz w:val="22"/>
          <w:szCs w:val="22"/>
        </w:rPr>
      </w:pPr>
      <w:r w:rsidRPr="00466055">
        <w:rPr>
          <w:rFonts w:ascii="Calibri" w:hAnsi="Calibri" w:cs="Calibri"/>
          <w:sz w:val="22"/>
          <w:szCs w:val="22"/>
        </w:rPr>
        <w:t>The second step of the methodology consists of mapping priority sectors to occupations using the U.S. National Employment Matrix 2024–2034, which reports employment by 6-digit SOC occupation across NAICS-based industries. Using the priority sector identifiers defined at the NAICS 6-digit level in the previous step, occupation-level employment is allocated to priority sectors based on industry–occupation employment relationships observed in the U.S. data.</w:t>
      </w:r>
    </w:p>
    <w:p w14:paraId="3598A395" w14:textId="77777777" w:rsidR="00466055" w:rsidRPr="00466055" w:rsidRDefault="00466055" w:rsidP="00466055">
      <w:pPr>
        <w:spacing w:line="240" w:lineRule="auto"/>
        <w:jc w:val="both"/>
        <w:rPr>
          <w:rFonts w:ascii="Calibri" w:hAnsi="Calibri" w:cs="Calibri"/>
          <w:sz w:val="22"/>
          <w:szCs w:val="22"/>
        </w:rPr>
      </w:pPr>
      <w:r w:rsidRPr="00466055">
        <w:rPr>
          <w:rFonts w:ascii="Calibri" w:hAnsi="Calibri" w:cs="Calibri"/>
          <w:sz w:val="22"/>
          <w:szCs w:val="22"/>
        </w:rPr>
        <w:t>Because industries in the National Employment Matrix are reported at the highest level of detail permitted by data quality and confidentiality constraints, employment information is not always available at the full NAICS 6-digit level. When employment is reported for aggregated NAICS industries, and these aggregated industries are linked to more than one of the six broad sectors (the five priority sectors plus a residual category), employment is distributed equally across the underlying NAICS 6-digit industries. This equal-allocation assumption mirrors the approach used in the sector mapping step and reflects the absence of more granular information. Where available, this assumption can be relaxed in future work by incorporating observed employment shares from household survey data.</w:t>
      </w:r>
    </w:p>
    <w:p w14:paraId="126BC90B" w14:textId="77777777" w:rsidR="00466055" w:rsidRPr="00466055" w:rsidRDefault="00466055" w:rsidP="00466055">
      <w:pPr>
        <w:spacing w:line="240" w:lineRule="auto"/>
        <w:jc w:val="both"/>
        <w:rPr>
          <w:rFonts w:ascii="Calibri" w:hAnsi="Calibri" w:cs="Calibri"/>
          <w:sz w:val="22"/>
          <w:szCs w:val="22"/>
        </w:rPr>
      </w:pPr>
      <w:r w:rsidRPr="00466055">
        <w:rPr>
          <w:rFonts w:ascii="Calibri" w:hAnsi="Calibri" w:cs="Calibri"/>
          <w:sz w:val="22"/>
          <w:szCs w:val="22"/>
        </w:rPr>
        <w:t>Applying this procedure yields estimates of sector-specific employment shares for each 6-digit SOC occupation, which are then used to rank occupations within each priority sector according to their intensity of use. These rankings form the basis for identifying “typical” occupations within each priority sector based on U.S. employment patterns.</w:t>
      </w:r>
    </w:p>
    <w:p w14:paraId="6B59B2C8" w14:textId="13E13EFE" w:rsidR="00466055" w:rsidRPr="00073842" w:rsidRDefault="00466055" w:rsidP="00466055">
      <w:pPr>
        <w:spacing w:line="240" w:lineRule="auto"/>
        <w:jc w:val="both"/>
        <w:rPr>
          <w:rFonts w:ascii="Calibri" w:hAnsi="Calibri" w:cs="Calibri"/>
          <w:sz w:val="22"/>
          <w:szCs w:val="22"/>
        </w:rPr>
      </w:pPr>
      <w:r w:rsidRPr="00466055">
        <w:rPr>
          <w:rFonts w:ascii="Calibri" w:hAnsi="Calibri" w:cs="Calibri"/>
          <w:sz w:val="22"/>
          <w:szCs w:val="22"/>
        </w:rPr>
        <w:t>Although the National Employment Matrix covers 832 SOC occupations, two occupations—Patternmakers, wood and Terrazzo workers and finishers—do not report sufficient industry-level detail to allow a meaningful allocation across industries and sectors. As a result, these occupations are excluded from the sector–occupation mapping. Consequently, the U.S.-based jobs catalogue includes 830 occupations rather than the full set of 832 SOC occupations.</w:t>
      </w:r>
    </w:p>
    <w:p w14:paraId="38AE941B" w14:textId="35328216" w:rsidR="00073842" w:rsidRPr="005F454B" w:rsidRDefault="00073842" w:rsidP="005F454B">
      <w:pPr>
        <w:pStyle w:val="ListParagraph"/>
        <w:numPr>
          <w:ilvl w:val="1"/>
          <w:numId w:val="48"/>
        </w:numPr>
        <w:spacing w:line="240" w:lineRule="auto"/>
        <w:jc w:val="both"/>
        <w:rPr>
          <w:rFonts w:ascii="Calibri" w:hAnsi="Calibri" w:cs="Calibri"/>
          <w:b/>
          <w:bCs/>
          <w:i/>
          <w:iCs/>
          <w:sz w:val="22"/>
          <w:szCs w:val="22"/>
          <w:u w:val="single"/>
        </w:rPr>
      </w:pPr>
      <w:r w:rsidRPr="005F454B">
        <w:rPr>
          <w:rFonts w:ascii="Calibri" w:hAnsi="Calibri" w:cs="Calibri"/>
          <w:b/>
          <w:bCs/>
          <w:i/>
          <w:iCs/>
          <w:sz w:val="22"/>
          <w:szCs w:val="22"/>
          <w:u w:val="single"/>
        </w:rPr>
        <w:lastRenderedPageBreak/>
        <w:t>Occupation enrichment and validation</w:t>
      </w:r>
    </w:p>
    <w:p w14:paraId="14418FE0" w14:textId="155AB9F1" w:rsidR="00DA28FF" w:rsidRPr="00DA28FF" w:rsidRDefault="00DA28FF" w:rsidP="00DA28FF">
      <w:pPr>
        <w:spacing w:line="240" w:lineRule="auto"/>
        <w:jc w:val="both"/>
        <w:rPr>
          <w:rFonts w:ascii="Calibri" w:hAnsi="Calibri" w:cs="Calibri"/>
          <w:sz w:val="22"/>
          <w:szCs w:val="22"/>
        </w:rPr>
      </w:pPr>
      <w:r w:rsidRPr="00DA28FF">
        <w:rPr>
          <w:rFonts w:ascii="Calibri" w:hAnsi="Calibri" w:cs="Calibri"/>
          <w:sz w:val="22"/>
          <w:szCs w:val="22"/>
        </w:rPr>
        <w:t>In a final step, the sector–occupation mapping is enriched with occupation-level attributes and validated using country-level data. For U.S.-based occupations, a comprehensive set of characteristics is incorporated from the U.S. Occupational Outlook Handbook (OOH) and the O*NET databases. Separate occupation catalogues are constructed for the U.S. benchmark and for each SAR country, reflecting differences in data availability and occupational classification systems.</w:t>
      </w:r>
    </w:p>
    <w:p w14:paraId="3239523A" w14:textId="256B7281" w:rsidR="00DA28FF" w:rsidRPr="005F454B" w:rsidRDefault="00DA28FF" w:rsidP="00DA28FF">
      <w:pPr>
        <w:spacing w:line="240" w:lineRule="auto"/>
        <w:jc w:val="both"/>
        <w:rPr>
          <w:rFonts w:ascii="Calibri" w:hAnsi="Calibri" w:cs="Calibri"/>
          <w:b/>
          <w:bCs/>
          <w:color w:val="215E99" w:themeColor="text2" w:themeTint="BF"/>
          <w:sz w:val="22"/>
          <w:szCs w:val="22"/>
        </w:rPr>
      </w:pPr>
      <w:r w:rsidRPr="005F454B">
        <w:rPr>
          <w:rFonts w:ascii="Calibri" w:hAnsi="Calibri" w:cs="Calibri"/>
          <w:b/>
          <w:bCs/>
          <w:color w:val="215E99" w:themeColor="text2" w:themeTint="BF"/>
          <w:sz w:val="22"/>
          <w:szCs w:val="22"/>
        </w:rPr>
        <w:t>U.S. occupation-level attributes (OOH)</w:t>
      </w:r>
      <w:r w:rsidR="007D74F9" w:rsidRPr="005F454B">
        <w:rPr>
          <w:rFonts w:ascii="Calibri" w:hAnsi="Calibri" w:cs="Calibri"/>
          <w:b/>
          <w:bCs/>
          <w:color w:val="215E99" w:themeColor="text2" w:themeTint="BF"/>
          <w:sz w:val="22"/>
          <w:szCs w:val="22"/>
        </w:rPr>
        <w:t>:</w:t>
      </w:r>
    </w:p>
    <w:p w14:paraId="5C144A58" w14:textId="77777777" w:rsidR="00DA28FF" w:rsidRPr="00DA28FF" w:rsidRDefault="00DA28FF" w:rsidP="00DA28FF">
      <w:pPr>
        <w:spacing w:line="240" w:lineRule="auto"/>
        <w:jc w:val="both"/>
        <w:rPr>
          <w:rFonts w:ascii="Calibri" w:hAnsi="Calibri" w:cs="Calibri"/>
          <w:sz w:val="22"/>
          <w:szCs w:val="22"/>
        </w:rPr>
      </w:pPr>
      <w:r w:rsidRPr="00DA28FF">
        <w:rPr>
          <w:rFonts w:ascii="Calibri" w:hAnsi="Calibri" w:cs="Calibri"/>
          <w:sz w:val="22"/>
          <w:szCs w:val="22"/>
        </w:rPr>
        <w:t>For each U.S. occupation defined at the 6-digit SOC level, the catalogue includes the following fields:</w:t>
      </w:r>
    </w:p>
    <w:p w14:paraId="1174F28E" w14:textId="77777777"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t>Occupation code</w:t>
      </w:r>
      <w:r w:rsidRPr="00DA28FF">
        <w:rPr>
          <w:rFonts w:ascii="Calibri" w:hAnsi="Calibri" w:cs="Calibri"/>
          <w:sz w:val="22"/>
          <w:szCs w:val="22"/>
        </w:rPr>
        <w:t xml:space="preserve"> </w:t>
      </w:r>
      <w:r w:rsidRPr="007D74F9">
        <w:rPr>
          <w:rFonts w:ascii="Calibri" w:hAnsi="Calibri" w:cs="Calibri"/>
          <w:b/>
          <w:bCs/>
          <w:sz w:val="22"/>
          <w:szCs w:val="22"/>
        </w:rPr>
        <w:t>and</w:t>
      </w:r>
      <w:r w:rsidRPr="00DA28FF">
        <w:rPr>
          <w:rFonts w:ascii="Calibri" w:hAnsi="Calibri" w:cs="Calibri"/>
          <w:sz w:val="22"/>
          <w:szCs w:val="22"/>
        </w:rPr>
        <w:t xml:space="preserve"> </w:t>
      </w:r>
      <w:r w:rsidRPr="00DA28FF">
        <w:rPr>
          <w:rFonts w:ascii="Calibri" w:hAnsi="Calibri" w:cs="Calibri"/>
          <w:b/>
          <w:bCs/>
          <w:sz w:val="22"/>
          <w:szCs w:val="22"/>
        </w:rPr>
        <w:t>occupation title</w:t>
      </w:r>
      <w:r w:rsidRPr="00DA28FF">
        <w:rPr>
          <w:rFonts w:ascii="Calibri" w:hAnsi="Calibri" w:cs="Calibri"/>
          <w:sz w:val="22"/>
          <w:szCs w:val="22"/>
        </w:rPr>
        <w:br/>
        <w:t>Six-digit SOC occupation code and corresponding occupation title.</w:t>
      </w:r>
    </w:p>
    <w:p w14:paraId="4E89EA3B" w14:textId="47F2C018" w:rsidR="00DA28FF" w:rsidRPr="00DA28FF" w:rsidRDefault="00690926" w:rsidP="007D74F9">
      <w:pPr>
        <w:numPr>
          <w:ilvl w:val="0"/>
          <w:numId w:val="43"/>
        </w:numPr>
        <w:spacing w:line="240" w:lineRule="auto"/>
        <w:rPr>
          <w:rFonts w:ascii="Calibri" w:hAnsi="Calibri" w:cs="Calibri"/>
          <w:sz w:val="22"/>
          <w:szCs w:val="22"/>
        </w:rPr>
      </w:pPr>
      <w:r>
        <w:rPr>
          <w:rFonts w:ascii="Calibri" w:hAnsi="Calibri" w:cs="Calibri"/>
          <w:b/>
          <w:bCs/>
          <w:sz w:val="22"/>
          <w:szCs w:val="22"/>
        </w:rPr>
        <w:t>Entry</w:t>
      </w:r>
      <w:r w:rsidR="00DA28FF" w:rsidRPr="00DA28FF">
        <w:rPr>
          <w:rFonts w:ascii="Calibri" w:hAnsi="Calibri" w:cs="Calibri"/>
          <w:b/>
          <w:bCs/>
          <w:sz w:val="22"/>
          <w:szCs w:val="22"/>
        </w:rPr>
        <w:t xml:space="preserve"> level of education</w:t>
      </w:r>
      <w:r w:rsidR="00DA28FF" w:rsidRPr="00DA28FF">
        <w:rPr>
          <w:rFonts w:ascii="Calibri" w:hAnsi="Calibri" w:cs="Calibri"/>
          <w:sz w:val="22"/>
          <w:szCs w:val="22"/>
        </w:rPr>
        <w:br/>
        <w:t>Typical level of formal education that most workers need to enter the occupation, as defined by the OOH.</w:t>
      </w:r>
    </w:p>
    <w:p w14:paraId="1BEBBF90" w14:textId="166B94EC"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t>On-the-job training</w:t>
      </w:r>
      <w:r w:rsidRPr="00DA28FF">
        <w:rPr>
          <w:rFonts w:ascii="Calibri" w:hAnsi="Calibri" w:cs="Calibri"/>
          <w:sz w:val="22"/>
          <w:szCs w:val="22"/>
        </w:rPr>
        <w:br/>
        <w:t>Occupation-specific training or preparation typically required after entry into employment for a worker to attain competency, as defined by the OOH. Categories include apprenticeships, internships or residencies, long-term, moderate-term, short-term on-the-job training, or no additional training.</w:t>
      </w:r>
      <w:r w:rsidR="00690926">
        <w:rPr>
          <w:rStyle w:val="FootnoteReference"/>
          <w:rFonts w:ascii="Calibri" w:hAnsi="Calibri" w:cs="Calibri"/>
          <w:sz w:val="22"/>
          <w:szCs w:val="22"/>
        </w:rPr>
        <w:footnoteReference w:id="5"/>
      </w:r>
    </w:p>
    <w:p w14:paraId="15D2E51D" w14:textId="77777777" w:rsidR="005F6FC4" w:rsidRDefault="00DA28FF" w:rsidP="00FB35A1">
      <w:pPr>
        <w:numPr>
          <w:ilvl w:val="0"/>
          <w:numId w:val="43"/>
        </w:numPr>
        <w:spacing w:line="240" w:lineRule="auto"/>
        <w:rPr>
          <w:rFonts w:ascii="Calibri" w:hAnsi="Calibri" w:cs="Calibri"/>
          <w:sz w:val="22"/>
          <w:szCs w:val="22"/>
        </w:rPr>
      </w:pPr>
      <w:r w:rsidRPr="005F6FC4">
        <w:rPr>
          <w:rFonts w:ascii="Calibri" w:hAnsi="Calibri" w:cs="Calibri"/>
          <w:b/>
          <w:bCs/>
          <w:sz w:val="22"/>
          <w:szCs w:val="22"/>
        </w:rPr>
        <w:t>Delivery method</w:t>
      </w:r>
      <w:r w:rsidRPr="005F6FC4">
        <w:rPr>
          <w:rFonts w:ascii="Calibri" w:hAnsi="Calibri" w:cs="Calibri"/>
          <w:sz w:val="22"/>
          <w:szCs w:val="22"/>
        </w:rPr>
        <w:br/>
      </w:r>
      <w:r w:rsidR="005F6FC4" w:rsidRPr="005F6FC4">
        <w:rPr>
          <w:rFonts w:ascii="Calibri" w:hAnsi="Calibri" w:cs="Calibri"/>
          <w:sz w:val="22"/>
          <w:szCs w:val="22"/>
        </w:rPr>
        <w:t>Composite indicator constructed from the interaction between entry-level education and on-the-job training requirements, summarizing the predominant mode through which skills are typically acquired. Entry-level education is grouped into no formal education, formal non-tertiary education, and formal tertiary education. On-the-job training is treated as a binary dimension, distinguishing occupations that require no on-the-job training from those that require any type of on-the-job training (including apprenticeships, internships or residencies, and long-, moderate-, or short-term on-the-job training). Combining these two dimensions yields six mutually exclusive delivery method categories: (i) none / non-formal lifelong training (no formal education and no on-the-job training); (ii) industry-led on-the-job training (no formal education and any on-the-job training); (iii) formal non-tertiary education combined with industry-led on-the-job training; (iv) formal non-tertiary education only (no on-the-job training); (v) formal tertiary education combined with industry-led on-the-job training; and (vi) formal tertiary education only (no on-the-job training).</w:t>
      </w:r>
    </w:p>
    <w:p w14:paraId="0994D2E8" w14:textId="0ABDF158" w:rsidR="00DA28FF" w:rsidRPr="005F6FC4" w:rsidRDefault="00DA28FF" w:rsidP="00FB35A1">
      <w:pPr>
        <w:numPr>
          <w:ilvl w:val="0"/>
          <w:numId w:val="43"/>
        </w:numPr>
        <w:spacing w:line="240" w:lineRule="auto"/>
        <w:rPr>
          <w:rFonts w:ascii="Calibri" w:hAnsi="Calibri" w:cs="Calibri"/>
          <w:sz w:val="22"/>
          <w:szCs w:val="22"/>
        </w:rPr>
      </w:pPr>
      <w:r w:rsidRPr="005F6FC4">
        <w:rPr>
          <w:rFonts w:ascii="Calibri" w:hAnsi="Calibri" w:cs="Calibri"/>
          <w:b/>
          <w:bCs/>
          <w:sz w:val="22"/>
          <w:szCs w:val="22"/>
        </w:rPr>
        <w:t>Projected number of new jobs</w:t>
      </w:r>
      <w:r w:rsidRPr="005F6FC4">
        <w:rPr>
          <w:rFonts w:ascii="Calibri" w:hAnsi="Calibri" w:cs="Calibri"/>
          <w:sz w:val="22"/>
          <w:szCs w:val="22"/>
        </w:rPr>
        <w:br/>
      </w:r>
      <w:r w:rsidR="003456ED" w:rsidRPr="003456ED">
        <w:rPr>
          <w:rFonts w:ascii="Calibri" w:hAnsi="Calibri" w:cs="Calibri"/>
          <w:sz w:val="22"/>
          <w:szCs w:val="22"/>
        </w:rPr>
        <w:t xml:space="preserve">Projected numeric change in employment between 2024 and 2034, as reported in the Occupational Outlook Handbook. For analytical clarity and comparability across occupations, this variable is converted into an ordered categorical indicator using the original OOH brackets: Declining (declining employment); Very low (0 to 999 new jobs); Low (1,000 to 4,999); Medium (5,000 to 9,999); High (10,000 to 49,999); and </w:t>
      </w:r>
      <w:proofErr w:type="gramStart"/>
      <w:r w:rsidR="003456ED" w:rsidRPr="003456ED">
        <w:rPr>
          <w:rFonts w:ascii="Calibri" w:hAnsi="Calibri" w:cs="Calibri"/>
          <w:sz w:val="22"/>
          <w:szCs w:val="22"/>
        </w:rPr>
        <w:t>Very</w:t>
      </w:r>
      <w:proofErr w:type="gramEnd"/>
      <w:r w:rsidR="003456ED" w:rsidRPr="003456ED">
        <w:rPr>
          <w:rFonts w:ascii="Calibri" w:hAnsi="Calibri" w:cs="Calibri"/>
          <w:sz w:val="22"/>
          <w:szCs w:val="22"/>
        </w:rPr>
        <w:t xml:space="preserve"> high (50,000 or more new jobs).</w:t>
      </w:r>
    </w:p>
    <w:p w14:paraId="2D6BCD39" w14:textId="541BCE16"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lastRenderedPageBreak/>
        <w:t>Projected growth rate</w:t>
      </w:r>
      <w:r w:rsidRPr="00DA28FF">
        <w:rPr>
          <w:rFonts w:ascii="Calibri" w:hAnsi="Calibri" w:cs="Calibri"/>
          <w:sz w:val="22"/>
          <w:szCs w:val="22"/>
        </w:rPr>
        <w:br/>
      </w:r>
      <w:r w:rsidR="007925E9" w:rsidRPr="007925E9">
        <w:rPr>
          <w:rFonts w:ascii="Calibri" w:hAnsi="Calibri" w:cs="Calibri"/>
          <w:sz w:val="22"/>
          <w:szCs w:val="22"/>
        </w:rPr>
        <w:t>Projected percentage change in employment between 2024 and 2034, as defined in the Occupational Outlook Handbook. For presentation purposes, projected growth rates are reported using the standard OOH growth descriptors, which classify occupations based on the magnitude of the projected percentage change: much faster than average (increase of 7 percent or more); faster than average (increase of 5 to 6 percent); as fast as average (increase of 3 to 4 percent); slower than average (increase of 1 to 2 percent); little or no change (increase of less than 1 percent to a decrease of less than 1 percent); and decline (decrease of 1 percent or more).</w:t>
      </w:r>
    </w:p>
    <w:p w14:paraId="1BACCD5D" w14:textId="77777777"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t>Share of employment in the sector (U.S.)</w:t>
      </w:r>
      <w:r w:rsidRPr="00DA28FF">
        <w:rPr>
          <w:rFonts w:ascii="Calibri" w:hAnsi="Calibri" w:cs="Calibri"/>
          <w:sz w:val="22"/>
          <w:szCs w:val="22"/>
        </w:rPr>
        <w:br/>
        <w:t>Occupation-specific employment share within each priority sector, computed using the U.S. National Employment Matrix and reflecting the relative intensity of use of each occupation within sectors.</w:t>
      </w:r>
    </w:p>
    <w:p w14:paraId="4F4F3177" w14:textId="4985BE4E"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t>Median pay rank</w:t>
      </w:r>
      <w:r w:rsidRPr="00DA28FF">
        <w:rPr>
          <w:rFonts w:ascii="Calibri" w:hAnsi="Calibri" w:cs="Calibri"/>
          <w:sz w:val="22"/>
          <w:szCs w:val="22"/>
        </w:rPr>
        <w:br/>
        <w:t xml:space="preserve">Categorical </w:t>
      </w:r>
      <w:r w:rsidR="003456ED" w:rsidRPr="003456ED">
        <w:rPr>
          <w:rFonts w:ascii="Calibri" w:hAnsi="Calibri" w:cs="Calibri"/>
          <w:sz w:val="22"/>
          <w:szCs w:val="22"/>
        </w:rPr>
        <w:t xml:space="preserve">indicator derived from OOH median annual wage brackets. Occupations are classified into five ordered categories based on reported median pay: Very low (less than $37,500); Low ($37,500 to $49,999); Medium ($50,000 to $74,999); High ($75,000 to $99,999); and </w:t>
      </w:r>
      <w:proofErr w:type="gramStart"/>
      <w:r w:rsidR="003456ED" w:rsidRPr="003456ED">
        <w:rPr>
          <w:rFonts w:ascii="Calibri" w:hAnsi="Calibri" w:cs="Calibri"/>
          <w:sz w:val="22"/>
          <w:szCs w:val="22"/>
        </w:rPr>
        <w:t>Very</w:t>
      </w:r>
      <w:proofErr w:type="gramEnd"/>
      <w:r w:rsidR="003456ED" w:rsidRPr="003456ED">
        <w:rPr>
          <w:rFonts w:ascii="Calibri" w:hAnsi="Calibri" w:cs="Calibri"/>
          <w:sz w:val="22"/>
          <w:szCs w:val="22"/>
        </w:rPr>
        <w:t xml:space="preserve"> high ($100,000 or more). Occupations for which annual wage information is not available are coded as N/A.</w:t>
      </w:r>
    </w:p>
    <w:p w14:paraId="2C29836A" w14:textId="77777777"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t>Annual wage indicators</w:t>
      </w:r>
      <w:r w:rsidRPr="00DA28FF">
        <w:rPr>
          <w:rFonts w:ascii="Calibri" w:hAnsi="Calibri" w:cs="Calibri"/>
          <w:sz w:val="22"/>
          <w:szCs w:val="22"/>
        </w:rPr>
        <w:br/>
        <w:t>Mean and median annual wages, together with additional distributional measures where available, derived from OEWS May 2024 data.</w:t>
      </w:r>
    </w:p>
    <w:p w14:paraId="4FA34389" w14:textId="77777777"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t>Hourly wage indicators</w:t>
      </w:r>
      <w:r w:rsidRPr="00DA28FF">
        <w:rPr>
          <w:rFonts w:ascii="Calibri" w:hAnsi="Calibri" w:cs="Calibri"/>
          <w:sz w:val="22"/>
          <w:szCs w:val="22"/>
        </w:rPr>
        <w:br/>
        <w:t>Mean and median hourly wages, together with additional distributional measures where available, computed consistently with annual wage indicators.</w:t>
      </w:r>
    </w:p>
    <w:p w14:paraId="4562CA4B" w14:textId="77777777" w:rsidR="00DA28FF" w:rsidRPr="00DA28FF" w:rsidRDefault="00DA28FF" w:rsidP="00DA28FF">
      <w:pPr>
        <w:spacing w:line="240" w:lineRule="auto"/>
        <w:jc w:val="both"/>
        <w:rPr>
          <w:rFonts w:ascii="Calibri" w:hAnsi="Calibri" w:cs="Calibri"/>
          <w:sz w:val="22"/>
          <w:szCs w:val="22"/>
        </w:rPr>
      </w:pPr>
      <w:r w:rsidRPr="00DA28FF">
        <w:rPr>
          <w:rFonts w:ascii="Calibri" w:hAnsi="Calibri" w:cs="Calibri"/>
          <w:sz w:val="22"/>
          <w:szCs w:val="22"/>
        </w:rPr>
        <w:t>All wage statistics are computed for workers with positive earnings only and are included to capture both central tendencies and within-occupation dispersion in pay.</w:t>
      </w:r>
    </w:p>
    <w:p w14:paraId="79F76BD2" w14:textId="3B912306" w:rsidR="00DA28FF" w:rsidRPr="005F454B" w:rsidRDefault="00DA28FF" w:rsidP="00DA28FF">
      <w:pPr>
        <w:spacing w:line="240" w:lineRule="auto"/>
        <w:jc w:val="both"/>
        <w:rPr>
          <w:rFonts w:ascii="Calibri" w:hAnsi="Calibri" w:cs="Calibri"/>
          <w:b/>
          <w:bCs/>
          <w:color w:val="215E99" w:themeColor="text2" w:themeTint="BF"/>
          <w:sz w:val="22"/>
          <w:szCs w:val="22"/>
        </w:rPr>
      </w:pPr>
      <w:r w:rsidRPr="005F454B">
        <w:rPr>
          <w:rFonts w:ascii="Calibri" w:hAnsi="Calibri" w:cs="Calibri"/>
          <w:b/>
          <w:bCs/>
          <w:color w:val="215E99" w:themeColor="text2" w:themeTint="BF"/>
          <w:sz w:val="22"/>
          <w:szCs w:val="22"/>
        </w:rPr>
        <w:t>Skills and tasks (O*NET)</w:t>
      </w:r>
      <w:r w:rsidR="00F74682" w:rsidRPr="005F454B">
        <w:rPr>
          <w:rFonts w:ascii="Calibri" w:hAnsi="Calibri" w:cs="Calibri"/>
          <w:b/>
          <w:bCs/>
          <w:color w:val="215E99" w:themeColor="text2" w:themeTint="BF"/>
          <w:sz w:val="22"/>
          <w:szCs w:val="22"/>
        </w:rPr>
        <w:t>:</w:t>
      </w:r>
    </w:p>
    <w:p w14:paraId="7B4B86B9" w14:textId="77777777" w:rsidR="00A6143B" w:rsidRPr="00A6143B" w:rsidRDefault="00A6143B" w:rsidP="00A6143B">
      <w:pPr>
        <w:spacing w:line="240" w:lineRule="auto"/>
        <w:jc w:val="both"/>
        <w:rPr>
          <w:rFonts w:ascii="Calibri" w:hAnsi="Calibri" w:cs="Calibri"/>
          <w:sz w:val="22"/>
          <w:szCs w:val="22"/>
        </w:rPr>
      </w:pPr>
      <w:r w:rsidRPr="00A6143B">
        <w:rPr>
          <w:rFonts w:ascii="Calibri" w:hAnsi="Calibri" w:cs="Calibri"/>
          <w:sz w:val="22"/>
          <w:szCs w:val="22"/>
        </w:rPr>
        <w:t>To complement labor market and education indicators, the catalogue incorporates detailed information on tasks and skills from the O*NET database, enabling a skills-based characterization of occupations within priority sectors.</w:t>
      </w:r>
    </w:p>
    <w:p w14:paraId="16BB11DC" w14:textId="1B7C6DC8" w:rsidR="00A6143B" w:rsidRPr="00A6143B" w:rsidRDefault="00A6143B" w:rsidP="00A6143B">
      <w:pPr>
        <w:spacing w:line="240" w:lineRule="auto"/>
        <w:jc w:val="both"/>
        <w:rPr>
          <w:rFonts w:ascii="Calibri" w:hAnsi="Calibri" w:cs="Calibri"/>
          <w:sz w:val="22"/>
          <w:szCs w:val="22"/>
        </w:rPr>
      </w:pPr>
      <w:r w:rsidRPr="00A6143B">
        <w:rPr>
          <w:rFonts w:ascii="Calibri" w:hAnsi="Calibri" w:cs="Calibri"/>
          <w:sz w:val="22"/>
          <w:szCs w:val="22"/>
        </w:rPr>
        <w:t>For each occupation, the following O*NET-based fields are included:</w:t>
      </w:r>
    </w:p>
    <w:p w14:paraId="21A8DF38" w14:textId="77777777" w:rsidR="00A6143B" w:rsidRPr="00A6143B" w:rsidRDefault="00A6143B" w:rsidP="00A6143B">
      <w:pPr>
        <w:numPr>
          <w:ilvl w:val="0"/>
          <w:numId w:val="49"/>
        </w:numPr>
        <w:spacing w:line="240" w:lineRule="auto"/>
        <w:rPr>
          <w:rFonts w:ascii="Calibri" w:hAnsi="Calibri" w:cs="Calibri"/>
          <w:sz w:val="22"/>
          <w:szCs w:val="22"/>
        </w:rPr>
      </w:pPr>
      <w:r w:rsidRPr="00A6143B">
        <w:rPr>
          <w:rFonts w:ascii="Calibri" w:hAnsi="Calibri" w:cs="Calibri"/>
          <w:b/>
          <w:bCs/>
          <w:sz w:val="22"/>
          <w:szCs w:val="22"/>
        </w:rPr>
        <w:t>Task descriptions (Task 1 to Task 65)</w:t>
      </w:r>
      <w:r w:rsidRPr="00A6143B">
        <w:rPr>
          <w:rFonts w:ascii="Calibri" w:hAnsi="Calibri" w:cs="Calibri"/>
          <w:sz w:val="22"/>
          <w:szCs w:val="22"/>
        </w:rPr>
        <w:br/>
        <w:t>Standardized textual descriptions of the core work activities performed in each occupation, reported as up to 65 occupation-specific task statements.</w:t>
      </w:r>
    </w:p>
    <w:p w14:paraId="668826F5" w14:textId="77777777" w:rsidR="00A6143B" w:rsidRPr="00A6143B" w:rsidRDefault="00A6143B" w:rsidP="00A6143B">
      <w:pPr>
        <w:numPr>
          <w:ilvl w:val="0"/>
          <w:numId w:val="49"/>
        </w:numPr>
        <w:spacing w:line="240" w:lineRule="auto"/>
        <w:rPr>
          <w:rFonts w:ascii="Calibri" w:hAnsi="Calibri" w:cs="Calibri"/>
          <w:sz w:val="22"/>
          <w:szCs w:val="22"/>
        </w:rPr>
      </w:pPr>
      <w:r w:rsidRPr="00A6143B">
        <w:rPr>
          <w:rFonts w:ascii="Calibri" w:hAnsi="Calibri" w:cs="Calibri"/>
          <w:b/>
          <w:bCs/>
          <w:sz w:val="22"/>
          <w:szCs w:val="22"/>
        </w:rPr>
        <w:t>Skill importance</w:t>
      </w:r>
      <w:r w:rsidRPr="00A6143B">
        <w:rPr>
          <w:rFonts w:ascii="Calibri" w:hAnsi="Calibri" w:cs="Calibri"/>
          <w:sz w:val="22"/>
          <w:szCs w:val="22"/>
        </w:rPr>
        <w:br/>
        <w:t>Measures of how critical each skill is for effective job performance in the occupation, independent of the level at which it must be applied. Skill importance is reported on a standardized O*NET scale from 1 (not important) to 5 (extremely important), allowing comparisons across skills and occupations.</w:t>
      </w:r>
    </w:p>
    <w:p w14:paraId="104B6703" w14:textId="22D4EE4D" w:rsidR="00A6143B" w:rsidRPr="00A6143B" w:rsidRDefault="00A6143B" w:rsidP="00A6143B">
      <w:pPr>
        <w:numPr>
          <w:ilvl w:val="0"/>
          <w:numId w:val="49"/>
        </w:numPr>
        <w:spacing w:line="240" w:lineRule="auto"/>
        <w:rPr>
          <w:rFonts w:ascii="Calibri" w:hAnsi="Calibri" w:cs="Calibri"/>
          <w:sz w:val="22"/>
          <w:szCs w:val="22"/>
        </w:rPr>
      </w:pPr>
      <w:r w:rsidRPr="00A6143B">
        <w:rPr>
          <w:rFonts w:ascii="Calibri" w:hAnsi="Calibri" w:cs="Calibri"/>
          <w:b/>
          <w:bCs/>
          <w:sz w:val="22"/>
          <w:szCs w:val="22"/>
        </w:rPr>
        <w:lastRenderedPageBreak/>
        <w:t>Skill proficiency (skill level)</w:t>
      </w:r>
      <w:r w:rsidRPr="00A6143B">
        <w:rPr>
          <w:rFonts w:ascii="Calibri" w:hAnsi="Calibri" w:cs="Calibri"/>
          <w:sz w:val="22"/>
          <w:szCs w:val="22"/>
        </w:rPr>
        <w:br/>
        <w:t>Measures of the degree of competency, mastery, or complexity with which each skill must be applied in the occupation, conditional on its relevance. Skill level is reported on a standardized O*NET scale from 0 to 7, with higher values indicating greater required proficiency.</w:t>
      </w:r>
      <w:r w:rsidR="009F07B0">
        <w:rPr>
          <w:rStyle w:val="FootnoteReference"/>
          <w:rFonts w:ascii="Calibri" w:hAnsi="Calibri" w:cs="Calibri"/>
          <w:sz w:val="22"/>
          <w:szCs w:val="22"/>
        </w:rPr>
        <w:footnoteReference w:id="6"/>
      </w:r>
    </w:p>
    <w:p w14:paraId="37BBA80B" w14:textId="77777777" w:rsidR="00A6143B" w:rsidRPr="00A6143B" w:rsidRDefault="00A6143B" w:rsidP="00A6143B">
      <w:pPr>
        <w:spacing w:line="240" w:lineRule="auto"/>
        <w:jc w:val="both"/>
        <w:rPr>
          <w:rFonts w:ascii="Calibri" w:hAnsi="Calibri" w:cs="Calibri"/>
          <w:sz w:val="22"/>
          <w:szCs w:val="22"/>
        </w:rPr>
      </w:pPr>
      <w:r w:rsidRPr="00A6143B">
        <w:rPr>
          <w:rFonts w:ascii="Calibri" w:hAnsi="Calibri" w:cs="Calibri"/>
          <w:sz w:val="22"/>
          <w:szCs w:val="22"/>
        </w:rPr>
        <w:t>The skills covered span cognitive, technical, and interpersonal domains, including Active Learning, Active Listening, Complex Problem Solving, Critical Thinking, Coordination, Judgment and Decision Making, Management of Financial, Material, and Personnel Resources, Operations Analysis, Programming, Quality Control Analysis, Reading Comprehension, Service Orientation, Social Perceptiveness, Systems Analysis, Technology Design, Troubleshooting, Writing, and related skills. Two separate skill-based catalogues are produced for U.S. occupations in priority sectors: one reporting skill importance and another reporting skill proficiency levels.</w:t>
      </w:r>
    </w:p>
    <w:p w14:paraId="2D2A99BB" w14:textId="77777777" w:rsidR="00DA28FF" w:rsidRPr="00521A74" w:rsidRDefault="00DA28FF" w:rsidP="00DA28FF">
      <w:pPr>
        <w:spacing w:line="240" w:lineRule="auto"/>
        <w:jc w:val="both"/>
        <w:rPr>
          <w:rFonts w:ascii="Calibri" w:hAnsi="Calibri" w:cs="Calibri"/>
          <w:b/>
          <w:bCs/>
          <w:color w:val="215E99" w:themeColor="text2" w:themeTint="BF"/>
          <w:sz w:val="22"/>
          <w:szCs w:val="22"/>
        </w:rPr>
      </w:pPr>
      <w:r w:rsidRPr="00521A74">
        <w:rPr>
          <w:rFonts w:ascii="Calibri" w:hAnsi="Calibri" w:cs="Calibri"/>
          <w:b/>
          <w:bCs/>
          <w:color w:val="215E99" w:themeColor="text2" w:themeTint="BF"/>
          <w:sz w:val="22"/>
          <w:szCs w:val="22"/>
        </w:rPr>
        <w:t>Country-level occupation catalogues and validation (SAR)</w:t>
      </w:r>
    </w:p>
    <w:p w14:paraId="09EAF6BE" w14:textId="77777777" w:rsidR="00C442F9" w:rsidRPr="00C442F9" w:rsidRDefault="00C442F9" w:rsidP="00C442F9">
      <w:pPr>
        <w:spacing w:line="240" w:lineRule="auto"/>
        <w:jc w:val="both"/>
        <w:rPr>
          <w:rFonts w:ascii="Calibri" w:hAnsi="Calibri" w:cs="Calibri"/>
          <w:sz w:val="22"/>
          <w:szCs w:val="22"/>
        </w:rPr>
      </w:pPr>
      <w:r w:rsidRPr="00C442F9">
        <w:rPr>
          <w:rFonts w:ascii="Calibri" w:hAnsi="Calibri" w:cs="Calibri"/>
          <w:sz w:val="22"/>
          <w:szCs w:val="22"/>
        </w:rPr>
        <w:t>To validate U.S.-based occupation profiles and assess their relevance across country contexts, country-specific occupation catalogues are constructed using household survey microdata from labor force surveys (LFS) in SAR countries. Occupations are defined using the International Standard Classification of Occupations (ISCO) at the highest level of detail permitted by the data, implying a lower level of occupational granularity than in the U.S. SOC-based catalogue.</w:t>
      </w:r>
    </w:p>
    <w:p w14:paraId="16088A21" w14:textId="77777777" w:rsidR="00C442F9" w:rsidRPr="00C442F9" w:rsidRDefault="00C442F9" w:rsidP="00C442F9">
      <w:pPr>
        <w:spacing w:line="240" w:lineRule="auto"/>
        <w:jc w:val="both"/>
        <w:rPr>
          <w:rFonts w:ascii="Calibri" w:hAnsi="Calibri" w:cs="Calibri"/>
          <w:sz w:val="22"/>
          <w:szCs w:val="22"/>
        </w:rPr>
      </w:pPr>
      <w:r w:rsidRPr="00C442F9">
        <w:rPr>
          <w:rFonts w:ascii="Calibri" w:hAnsi="Calibri" w:cs="Calibri"/>
          <w:sz w:val="22"/>
          <w:szCs w:val="22"/>
        </w:rPr>
        <w:t>For each occupation in each country, the following fields are included:</w:t>
      </w:r>
    </w:p>
    <w:p w14:paraId="60A7C2D1" w14:textId="77777777" w:rsidR="00C442F9" w:rsidRPr="00C442F9" w:rsidRDefault="00C442F9" w:rsidP="00C442F9">
      <w:pPr>
        <w:numPr>
          <w:ilvl w:val="0"/>
          <w:numId w:val="50"/>
        </w:numPr>
        <w:spacing w:line="240" w:lineRule="auto"/>
        <w:rPr>
          <w:rFonts w:ascii="Calibri" w:hAnsi="Calibri" w:cs="Calibri"/>
          <w:sz w:val="22"/>
          <w:szCs w:val="22"/>
        </w:rPr>
      </w:pPr>
      <w:r w:rsidRPr="00C442F9">
        <w:rPr>
          <w:rFonts w:ascii="Calibri" w:hAnsi="Calibri" w:cs="Calibri"/>
          <w:b/>
          <w:bCs/>
          <w:sz w:val="22"/>
          <w:szCs w:val="22"/>
        </w:rPr>
        <w:t>Occupation code and occupation title (ISCO)</w:t>
      </w:r>
      <w:r w:rsidRPr="00C442F9">
        <w:rPr>
          <w:rFonts w:ascii="Calibri" w:hAnsi="Calibri" w:cs="Calibri"/>
          <w:sz w:val="22"/>
          <w:szCs w:val="22"/>
        </w:rPr>
        <w:br/>
        <w:t>Occupation identifiers and titles defined according to the International Standard Classification of Occupations, at the most detailed level available in each survey.</w:t>
      </w:r>
    </w:p>
    <w:p w14:paraId="1EE9B9EC" w14:textId="77777777" w:rsidR="00C442F9" w:rsidRPr="00C442F9" w:rsidRDefault="00C442F9" w:rsidP="00C442F9">
      <w:pPr>
        <w:numPr>
          <w:ilvl w:val="0"/>
          <w:numId w:val="50"/>
        </w:numPr>
        <w:spacing w:line="240" w:lineRule="auto"/>
        <w:rPr>
          <w:rFonts w:ascii="Calibri" w:hAnsi="Calibri" w:cs="Calibri"/>
          <w:sz w:val="22"/>
          <w:szCs w:val="22"/>
        </w:rPr>
      </w:pPr>
      <w:r w:rsidRPr="00C442F9">
        <w:rPr>
          <w:rFonts w:ascii="Calibri" w:hAnsi="Calibri" w:cs="Calibri"/>
          <w:b/>
          <w:bCs/>
          <w:sz w:val="22"/>
          <w:szCs w:val="22"/>
        </w:rPr>
        <w:t>Typical level of education</w:t>
      </w:r>
      <w:r w:rsidRPr="00C442F9">
        <w:rPr>
          <w:rFonts w:ascii="Calibri" w:hAnsi="Calibri" w:cs="Calibri"/>
          <w:sz w:val="22"/>
          <w:szCs w:val="22"/>
        </w:rPr>
        <w:br/>
        <w:t>Typical educational attainment of workers in the occupation, defined as the median level of completed education among employed individuals in that occupation.</w:t>
      </w:r>
    </w:p>
    <w:p w14:paraId="078E5F17" w14:textId="3900A2B6" w:rsidR="00C442F9" w:rsidRPr="00C442F9" w:rsidRDefault="00C442F9" w:rsidP="00C442F9">
      <w:pPr>
        <w:numPr>
          <w:ilvl w:val="0"/>
          <w:numId w:val="50"/>
        </w:numPr>
        <w:spacing w:line="240" w:lineRule="auto"/>
        <w:rPr>
          <w:rFonts w:ascii="Calibri" w:hAnsi="Calibri" w:cs="Calibri"/>
          <w:sz w:val="22"/>
          <w:szCs w:val="22"/>
        </w:rPr>
      </w:pPr>
      <w:r w:rsidRPr="00C442F9">
        <w:rPr>
          <w:rFonts w:ascii="Calibri" w:hAnsi="Calibri" w:cs="Calibri"/>
          <w:b/>
          <w:bCs/>
          <w:sz w:val="22"/>
          <w:szCs w:val="22"/>
        </w:rPr>
        <w:lastRenderedPageBreak/>
        <w:t>Share of employment in the sector</w:t>
      </w:r>
      <w:r w:rsidRPr="00C442F9">
        <w:rPr>
          <w:rFonts w:ascii="Calibri" w:hAnsi="Calibri" w:cs="Calibri"/>
          <w:sz w:val="22"/>
          <w:szCs w:val="22"/>
        </w:rPr>
        <w:br/>
        <w:t>Occupation-specific share of total employment within each priority sector at the country level, computed using sector–occupation employment relationships observed in household survey data.</w:t>
      </w:r>
    </w:p>
    <w:p w14:paraId="7BE2AC59" w14:textId="77777777" w:rsidR="00C442F9" w:rsidRPr="00C442F9" w:rsidRDefault="00C442F9" w:rsidP="00C442F9">
      <w:pPr>
        <w:numPr>
          <w:ilvl w:val="0"/>
          <w:numId w:val="50"/>
        </w:numPr>
        <w:spacing w:line="240" w:lineRule="auto"/>
        <w:rPr>
          <w:rFonts w:ascii="Calibri" w:hAnsi="Calibri" w:cs="Calibri"/>
          <w:sz w:val="22"/>
          <w:szCs w:val="22"/>
        </w:rPr>
      </w:pPr>
      <w:r w:rsidRPr="00C442F9">
        <w:rPr>
          <w:rFonts w:ascii="Calibri" w:hAnsi="Calibri" w:cs="Calibri"/>
          <w:b/>
          <w:bCs/>
          <w:sz w:val="22"/>
          <w:szCs w:val="22"/>
        </w:rPr>
        <w:t>Median pay rank</w:t>
      </w:r>
      <w:r w:rsidRPr="00C442F9">
        <w:rPr>
          <w:rFonts w:ascii="Calibri" w:hAnsi="Calibri" w:cs="Calibri"/>
          <w:sz w:val="22"/>
          <w:szCs w:val="22"/>
        </w:rPr>
        <w:br/>
        <w:t>Categorical indicator of relative pay, constructed using occupation-level quintiles of annual wages within each country. Occupations are classified into five ordered categories (very low, low, medium, high, and very high) based on their position in the country-specific wage distribution.</w:t>
      </w:r>
    </w:p>
    <w:p w14:paraId="41FADEF9" w14:textId="77777777" w:rsidR="00C442F9" w:rsidRPr="00C442F9" w:rsidRDefault="00C442F9" w:rsidP="00C442F9">
      <w:pPr>
        <w:numPr>
          <w:ilvl w:val="0"/>
          <w:numId w:val="50"/>
        </w:numPr>
        <w:spacing w:line="240" w:lineRule="auto"/>
        <w:rPr>
          <w:rFonts w:ascii="Calibri" w:hAnsi="Calibri" w:cs="Calibri"/>
          <w:sz w:val="22"/>
          <w:szCs w:val="22"/>
        </w:rPr>
      </w:pPr>
      <w:r w:rsidRPr="00C442F9">
        <w:rPr>
          <w:rFonts w:ascii="Calibri" w:hAnsi="Calibri" w:cs="Calibri"/>
          <w:b/>
          <w:bCs/>
          <w:sz w:val="22"/>
          <w:szCs w:val="22"/>
        </w:rPr>
        <w:t>Annual wages</w:t>
      </w:r>
      <w:r w:rsidRPr="00C442F9">
        <w:rPr>
          <w:rFonts w:ascii="Calibri" w:hAnsi="Calibri" w:cs="Calibri"/>
          <w:sz w:val="22"/>
          <w:szCs w:val="22"/>
        </w:rPr>
        <w:br/>
        <w:t>Mean and median annual wages for workers with positive earnings in the occupation, together with the number of observations underlying the estimates. All wage values are expressed in 2021 purchasing power parity (PPP) terms to support cross-country comparability.</w:t>
      </w:r>
    </w:p>
    <w:p w14:paraId="5048CE0C" w14:textId="77777777" w:rsidR="00C442F9" w:rsidRPr="00C442F9" w:rsidRDefault="00C442F9" w:rsidP="00C442F9">
      <w:pPr>
        <w:numPr>
          <w:ilvl w:val="0"/>
          <w:numId w:val="50"/>
        </w:numPr>
        <w:spacing w:line="240" w:lineRule="auto"/>
        <w:rPr>
          <w:rFonts w:ascii="Calibri" w:hAnsi="Calibri" w:cs="Calibri"/>
          <w:sz w:val="22"/>
          <w:szCs w:val="22"/>
          <w:lang w:val="es-AR"/>
        </w:rPr>
      </w:pPr>
      <w:r w:rsidRPr="000D667C">
        <w:rPr>
          <w:rFonts w:ascii="Calibri" w:hAnsi="Calibri" w:cs="Calibri"/>
          <w:b/>
          <w:bCs/>
          <w:sz w:val="22"/>
          <w:szCs w:val="22"/>
        </w:rPr>
        <w:t>Hourly wages</w:t>
      </w:r>
      <w:r w:rsidRPr="00C442F9">
        <w:rPr>
          <w:rFonts w:ascii="Calibri" w:hAnsi="Calibri" w:cs="Calibri"/>
          <w:sz w:val="22"/>
          <w:szCs w:val="22"/>
        </w:rPr>
        <w:br/>
        <w:t xml:space="preserve">Mean and median hourly wages for workers with positive earnings in the occupation, together with the corresponding number of observations. </w:t>
      </w:r>
      <w:proofErr w:type="spellStart"/>
      <w:r w:rsidRPr="00C442F9">
        <w:rPr>
          <w:rFonts w:ascii="Calibri" w:hAnsi="Calibri" w:cs="Calibri"/>
          <w:sz w:val="22"/>
          <w:szCs w:val="22"/>
          <w:lang w:val="es-AR"/>
        </w:rPr>
        <w:t>Hourly</w:t>
      </w:r>
      <w:proofErr w:type="spellEnd"/>
      <w:r w:rsidRPr="00C442F9">
        <w:rPr>
          <w:rFonts w:ascii="Calibri" w:hAnsi="Calibri" w:cs="Calibri"/>
          <w:sz w:val="22"/>
          <w:szCs w:val="22"/>
          <w:lang w:val="es-AR"/>
        </w:rPr>
        <w:t xml:space="preserve"> </w:t>
      </w:r>
      <w:proofErr w:type="spellStart"/>
      <w:r w:rsidRPr="00C442F9">
        <w:rPr>
          <w:rFonts w:ascii="Calibri" w:hAnsi="Calibri" w:cs="Calibri"/>
          <w:sz w:val="22"/>
          <w:szCs w:val="22"/>
          <w:lang w:val="es-AR"/>
        </w:rPr>
        <w:t>wages</w:t>
      </w:r>
      <w:proofErr w:type="spellEnd"/>
      <w:r w:rsidRPr="00C442F9">
        <w:rPr>
          <w:rFonts w:ascii="Calibri" w:hAnsi="Calibri" w:cs="Calibri"/>
          <w:sz w:val="22"/>
          <w:szCs w:val="22"/>
          <w:lang w:val="es-AR"/>
        </w:rPr>
        <w:t xml:space="preserve"> are </w:t>
      </w:r>
      <w:proofErr w:type="spellStart"/>
      <w:r w:rsidRPr="00C442F9">
        <w:rPr>
          <w:rFonts w:ascii="Calibri" w:hAnsi="Calibri" w:cs="Calibri"/>
          <w:sz w:val="22"/>
          <w:szCs w:val="22"/>
          <w:lang w:val="es-AR"/>
        </w:rPr>
        <w:t>also</w:t>
      </w:r>
      <w:proofErr w:type="spellEnd"/>
      <w:r w:rsidRPr="00C442F9">
        <w:rPr>
          <w:rFonts w:ascii="Calibri" w:hAnsi="Calibri" w:cs="Calibri"/>
          <w:sz w:val="22"/>
          <w:szCs w:val="22"/>
          <w:lang w:val="es-AR"/>
        </w:rPr>
        <w:t xml:space="preserve"> </w:t>
      </w:r>
      <w:proofErr w:type="spellStart"/>
      <w:r w:rsidRPr="00C442F9">
        <w:rPr>
          <w:rFonts w:ascii="Calibri" w:hAnsi="Calibri" w:cs="Calibri"/>
          <w:sz w:val="22"/>
          <w:szCs w:val="22"/>
          <w:lang w:val="es-AR"/>
        </w:rPr>
        <w:t>expressed</w:t>
      </w:r>
      <w:proofErr w:type="spellEnd"/>
      <w:r w:rsidRPr="00C442F9">
        <w:rPr>
          <w:rFonts w:ascii="Calibri" w:hAnsi="Calibri" w:cs="Calibri"/>
          <w:sz w:val="22"/>
          <w:szCs w:val="22"/>
          <w:lang w:val="es-AR"/>
        </w:rPr>
        <w:t xml:space="preserve"> in 2021 PPP </w:t>
      </w:r>
      <w:proofErr w:type="spellStart"/>
      <w:r w:rsidRPr="00C442F9">
        <w:rPr>
          <w:rFonts w:ascii="Calibri" w:hAnsi="Calibri" w:cs="Calibri"/>
          <w:sz w:val="22"/>
          <w:szCs w:val="22"/>
          <w:lang w:val="es-AR"/>
        </w:rPr>
        <w:t>terms</w:t>
      </w:r>
      <w:proofErr w:type="spellEnd"/>
      <w:r w:rsidRPr="00C442F9">
        <w:rPr>
          <w:rFonts w:ascii="Calibri" w:hAnsi="Calibri" w:cs="Calibri"/>
          <w:sz w:val="22"/>
          <w:szCs w:val="22"/>
          <w:lang w:val="es-AR"/>
        </w:rPr>
        <w:t>.</w:t>
      </w:r>
    </w:p>
    <w:p w14:paraId="1415892A" w14:textId="532FF3D0" w:rsidR="00C442F9" w:rsidRPr="00C442F9" w:rsidRDefault="00C442F9" w:rsidP="00C442F9">
      <w:pPr>
        <w:numPr>
          <w:ilvl w:val="0"/>
          <w:numId w:val="50"/>
        </w:numPr>
        <w:spacing w:line="240" w:lineRule="auto"/>
        <w:rPr>
          <w:rFonts w:ascii="Calibri" w:hAnsi="Calibri" w:cs="Calibri"/>
          <w:sz w:val="22"/>
          <w:szCs w:val="22"/>
        </w:rPr>
      </w:pPr>
      <w:r w:rsidRPr="000D667C">
        <w:rPr>
          <w:rFonts w:ascii="Calibri" w:hAnsi="Calibri" w:cs="Calibri"/>
          <w:b/>
          <w:bCs/>
          <w:sz w:val="22"/>
          <w:szCs w:val="22"/>
        </w:rPr>
        <w:t>Total employment</w:t>
      </w:r>
      <w:r w:rsidRPr="00C442F9">
        <w:rPr>
          <w:rFonts w:ascii="Calibri" w:hAnsi="Calibri" w:cs="Calibri"/>
          <w:sz w:val="22"/>
          <w:szCs w:val="22"/>
        </w:rPr>
        <w:br/>
        <w:t>Total number of employed workers in the occupation, as observed in the household survey microdata.</w:t>
      </w:r>
    </w:p>
    <w:p w14:paraId="193BCBD4" w14:textId="77777777" w:rsidR="00C442F9" w:rsidRPr="00C442F9" w:rsidRDefault="00C442F9" w:rsidP="00C442F9">
      <w:pPr>
        <w:numPr>
          <w:ilvl w:val="0"/>
          <w:numId w:val="50"/>
        </w:numPr>
        <w:spacing w:line="240" w:lineRule="auto"/>
        <w:rPr>
          <w:rFonts w:ascii="Calibri" w:hAnsi="Calibri" w:cs="Calibri"/>
          <w:sz w:val="22"/>
          <w:szCs w:val="22"/>
        </w:rPr>
      </w:pPr>
      <w:r w:rsidRPr="000D667C">
        <w:rPr>
          <w:rFonts w:ascii="Calibri" w:hAnsi="Calibri" w:cs="Calibri"/>
          <w:b/>
          <w:bCs/>
          <w:sz w:val="22"/>
          <w:szCs w:val="22"/>
        </w:rPr>
        <w:t>Share of self-employed workers</w:t>
      </w:r>
      <w:r w:rsidRPr="00C442F9">
        <w:rPr>
          <w:rFonts w:ascii="Calibri" w:hAnsi="Calibri" w:cs="Calibri"/>
          <w:sz w:val="22"/>
          <w:szCs w:val="22"/>
        </w:rPr>
        <w:br/>
        <w:t>Proportion of workers in the occupation classified as self-employed.</w:t>
      </w:r>
    </w:p>
    <w:p w14:paraId="26074701" w14:textId="77777777" w:rsidR="00C442F9" w:rsidRPr="00C442F9" w:rsidRDefault="00C442F9" w:rsidP="00C442F9">
      <w:pPr>
        <w:numPr>
          <w:ilvl w:val="0"/>
          <w:numId w:val="50"/>
        </w:numPr>
        <w:spacing w:line="240" w:lineRule="auto"/>
        <w:rPr>
          <w:rFonts w:ascii="Calibri" w:hAnsi="Calibri" w:cs="Calibri"/>
          <w:sz w:val="22"/>
          <w:szCs w:val="22"/>
        </w:rPr>
      </w:pPr>
      <w:r w:rsidRPr="000D667C">
        <w:rPr>
          <w:rFonts w:ascii="Calibri" w:hAnsi="Calibri" w:cs="Calibri"/>
          <w:b/>
          <w:bCs/>
          <w:sz w:val="22"/>
          <w:szCs w:val="22"/>
        </w:rPr>
        <w:t>Share of unpaid workers</w:t>
      </w:r>
      <w:r w:rsidRPr="00C442F9">
        <w:rPr>
          <w:rFonts w:ascii="Calibri" w:hAnsi="Calibri" w:cs="Calibri"/>
          <w:sz w:val="22"/>
          <w:szCs w:val="22"/>
        </w:rPr>
        <w:br/>
        <w:t>Proportion of workers in the occupation engaged in unpaid employment, where identifiable in the survey data.</w:t>
      </w:r>
    </w:p>
    <w:p w14:paraId="003BB3AE" w14:textId="7A18B079" w:rsidR="00C442F9" w:rsidRPr="00C442F9" w:rsidRDefault="00256E67" w:rsidP="00C442F9">
      <w:pPr>
        <w:numPr>
          <w:ilvl w:val="0"/>
          <w:numId w:val="50"/>
        </w:numPr>
        <w:spacing w:line="240" w:lineRule="auto"/>
        <w:rPr>
          <w:rFonts w:ascii="Calibri" w:hAnsi="Calibri" w:cs="Calibri"/>
          <w:sz w:val="22"/>
          <w:szCs w:val="22"/>
        </w:rPr>
      </w:pPr>
      <w:r>
        <w:rPr>
          <w:rFonts w:ascii="Calibri" w:hAnsi="Calibri" w:cs="Calibri"/>
          <w:b/>
          <w:bCs/>
          <w:sz w:val="22"/>
          <w:szCs w:val="22"/>
        </w:rPr>
        <w:t>I</w:t>
      </w:r>
      <w:r w:rsidR="00C442F9" w:rsidRPr="000D667C">
        <w:rPr>
          <w:rFonts w:ascii="Calibri" w:hAnsi="Calibri" w:cs="Calibri"/>
          <w:b/>
          <w:bCs/>
          <w:sz w:val="22"/>
          <w:szCs w:val="22"/>
        </w:rPr>
        <w:t>nformality</w:t>
      </w:r>
      <w:r>
        <w:rPr>
          <w:rFonts w:ascii="Calibri" w:hAnsi="Calibri" w:cs="Calibri"/>
          <w:b/>
          <w:bCs/>
          <w:sz w:val="22"/>
          <w:szCs w:val="22"/>
        </w:rPr>
        <w:t xml:space="preserve"> rate</w:t>
      </w:r>
      <w:r w:rsidR="00C442F9" w:rsidRPr="00C442F9">
        <w:rPr>
          <w:rFonts w:ascii="Calibri" w:hAnsi="Calibri" w:cs="Calibri"/>
          <w:sz w:val="22"/>
          <w:szCs w:val="22"/>
        </w:rPr>
        <w:br/>
        <w:t>Measures of informal employment at the occupation level, constructed using country-specific definitions and variables available in the household surveys.</w:t>
      </w:r>
      <w:r>
        <w:rPr>
          <w:rStyle w:val="FootnoteReference"/>
          <w:rFonts w:ascii="Calibri" w:hAnsi="Calibri" w:cs="Calibri"/>
          <w:sz w:val="22"/>
          <w:szCs w:val="22"/>
        </w:rPr>
        <w:footnoteReference w:id="7"/>
      </w:r>
    </w:p>
    <w:p w14:paraId="0D68C42D" w14:textId="77777777" w:rsidR="00C442F9" w:rsidRPr="00C442F9" w:rsidRDefault="00C442F9" w:rsidP="00C442F9">
      <w:pPr>
        <w:numPr>
          <w:ilvl w:val="0"/>
          <w:numId w:val="50"/>
        </w:numPr>
        <w:spacing w:line="240" w:lineRule="auto"/>
        <w:rPr>
          <w:rFonts w:ascii="Calibri" w:hAnsi="Calibri" w:cs="Calibri"/>
          <w:sz w:val="22"/>
          <w:szCs w:val="22"/>
        </w:rPr>
      </w:pPr>
      <w:r w:rsidRPr="000D667C">
        <w:rPr>
          <w:rFonts w:ascii="Calibri" w:hAnsi="Calibri" w:cs="Calibri"/>
          <w:b/>
          <w:bCs/>
          <w:sz w:val="22"/>
          <w:szCs w:val="22"/>
        </w:rPr>
        <w:t>Skill category</w:t>
      </w:r>
      <w:r w:rsidRPr="00C442F9">
        <w:rPr>
          <w:rFonts w:ascii="Calibri" w:hAnsi="Calibri" w:cs="Calibri"/>
          <w:sz w:val="22"/>
          <w:szCs w:val="22"/>
        </w:rPr>
        <w:br/>
        <w:t>Broad skill classification derived from ISCO major groups, grouping occupations into high-skill (ISCO groups 1–3), medium-skill (ISCO groups 4–8), and low-skill (ISCO group 9) categories.</w:t>
      </w:r>
    </w:p>
    <w:p w14:paraId="073A9B0A" w14:textId="77777777" w:rsidR="00C442F9" w:rsidRPr="00C442F9" w:rsidRDefault="00C442F9" w:rsidP="00C442F9">
      <w:pPr>
        <w:spacing w:line="240" w:lineRule="auto"/>
        <w:jc w:val="both"/>
        <w:rPr>
          <w:rFonts w:ascii="Calibri" w:hAnsi="Calibri" w:cs="Calibri"/>
          <w:sz w:val="22"/>
          <w:szCs w:val="22"/>
        </w:rPr>
      </w:pPr>
      <w:r w:rsidRPr="00C442F9">
        <w:rPr>
          <w:rFonts w:ascii="Calibri" w:hAnsi="Calibri" w:cs="Calibri"/>
          <w:sz w:val="22"/>
          <w:szCs w:val="22"/>
        </w:rPr>
        <w:t>These country-level catalogues are used to assess whether occupations identified as typical within priority sectors in the U.S. benchmark are also prominent in other country contexts, and to examine differences in employment structure, education, and wage outcomes across countries.</w:t>
      </w:r>
    </w:p>
    <w:p w14:paraId="244FBCE9" w14:textId="1AB41734" w:rsidR="00DA28FF" w:rsidRPr="00C442F9" w:rsidRDefault="00DA28FF" w:rsidP="00C442F9">
      <w:pPr>
        <w:spacing w:line="240" w:lineRule="auto"/>
        <w:jc w:val="both"/>
        <w:rPr>
          <w:rFonts w:ascii="Calibri" w:hAnsi="Calibri" w:cs="Calibri"/>
          <w:sz w:val="22"/>
          <w:szCs w:val="22"/>
        </w:rPr>
      </w:pPr>
    </w:p>
    <w:sectPr w:rsidR="00DA28FF" w:rsidRPr="00C442F9">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90946" w14:textId="77777777" w:rsidR="007405AB" w:rsidRDefault="007405AB" w:rsidP="009A6F7A">
      <w:pPr>
        <w:spacing w:after="0" w:line="240" w:lineRule="auto"/>
      </w:pPr>
      <w:r>
        <w:separator/>
      </w:r>
    </w:p>
  </w:endnote>
  <w:endnote w:type="continuationSeparator" w:id="0">
    <w:p w14:paraId="0BCD44B5" w14:textId="77777777" w:rsidR="007405AB" w:rsidRDefault="007405AB" w:rsidP="009A6F7A">
      <w:pPr>
        <w:spacing w:after="0" w:line="240" w:lineRule="auto"/>
      </w:pPr>
      <w:r>
        <w:continuationSeparator/>
      </w:r>
    </w:p>
  </w:endnote>
  <w:endnote w:type="continuationNotice" w:id="1">
    <w:p w14:paraId="6B550A17" w14:textId="77777777" w:rsidR="007405AB" w:rsidRDefault="007405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84F10" w14:textId="02A2ACF0" w:rsidR="009A4F64" w:rsidRDefault="009A4F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B9F3" w14:textId="2510D7F5" w:rsidR="009A4F64" w:rsidRDefault="009A4F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12AD" w14:textId="461836AC" w:rsidR="009A4F64" w:rsidRDefault="009A4F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6C981" w14:textId="77777777" w:rsidR="007405AB" w:rsidRDefault="007405AB" w:rsidP="009A6F7A">
      <w:pPr>
        <w:spacing w:after="0" w:line="240" w:lineRule="auto"/>
      </w:pPr>
      <w:r>
        <w:separator/>
      </w:r>
    </w:p>
  </w:footnote>
  <w:footnote w:type="continuationSeparator" w:id="0">
    <w:p w14:paraId="5125B9A3" w14:textId="77777777" w:rsidR="007405AB" w:rsidRDefault="007405AB" w:rsidP="009A6F7A">
      <w:pPr>
        <w:spacing w:after="0" w:line="240" w:lineRule="auto"/>
      </w:pPr>
      <w:r>
        <w:continuationSeparator/>
      </w:r>
    </w:p>
  </w:footnote>
  <w:footnote w:type="continuationNotice" w:id="1">
    <w:p w14:paraId="16880012" w14:textId="77777777" w:rsidR="007405AB" w:rsidRDefault="007405AB">
      <w:pPr>
        <w:spacing w:after="0" w:line="240" w:lineRule="auto"/>
      </w:pPr>
    </w:p>
  </w:footnote>
  <w:footnote w:id="2">
    <w:p w14:paraId="7AC884CB" w14:textId="26C75C90" w:rsidR="00F4756D" w:rsidRPr="00F4756D" w:rsidRDefault="00F4756D" w:rsidP="00F4756D">
      <w:pPr>
        <w:pStyle w:val="FootnoteText"/>
        <w:jc w:val="both"/>
      </w:pPr>
      <w:r w:rsidRPr="00F4756D">
        <w:rPr>
          <w:rStyle w:val="FootnoteReference"/>
        </w:rPr>
        <w:footnoteRef/>
      </w:r>
      <w:r w:rsidRPr="00F4756D">
        <w:rPr>
          <w:rStyle w:val="FootnoteReference"/>
        </w:rPr>
        <w:t xml:space="preserve"> </w:t>
      </w:r>
      <w:r>
        <w:t xml:space="preserve"> </w:t>
      </w:r>
      <w:r w:rsidRPr="00F4756D">
        <w:rPr>
          <w:rFonts w:ascii="Calibri" w:hAnsi="Calibri" w:cs="Calibri"/>
        </w:rPr>
        <w:t>Within Infrastructure and Energy, additional distinctions are introduced to separately identify energy activities (ISIC 35), digital infrastructure (ISIC 61), and core infrastructure (ISIC 36–39 and 41–43).</w:t>
      </w:r>
    </w:p>
  </w:footnote>
  <w:footnote w:id="3">
    <w:p w14:paraId="1CB1653E" w14:textId="5AD6BEFD" w:rsidR="00DF6AE5" w:rsidRPr="00063D4E" w:rsidRDefault="00DF6AE5">
      <w:pPr>
        <w:pStyle w:val="FootnoteText"/>
        <w:rPr>
          <w:rFonts w:ascii="Calibri" w:hAnsi="Calibri" w:cs="Calibri"/>
        </w:rPr>
      </w:pPr>
      <w:r w:rsidRPr="00063D4E">
        <w:rPr>
          <w:rStyle w:val="FootnoteReference"/>
          <w:rFonts w:ascii="Calibri" w:hAnsi="Calibri" w:cs="Calibri"/>
        </w:rPr>
        <w:footnoteRef/>
      </w:r>
      <w:r w:rsidRPr="00063D4E">
        <w:rPr>
          <w:rFonts w:ascii="Calibri" w:hAnsi="Calibri" w:cs="Calibri"/>
        </w:rPr>
        <w:t xml:space="preserve"> </w:t>
      </w:r>
      <w:r w:rsidR="00063D4E" w:rsidRPr="00063D4E">
        <w:rPr>
          <w:rFonts w:ascii="Calibri" w:hAnsi="Calibri" w:cs="Calibri"/>
        </w:rPr>
        <w:t>Specifically, tourism includes the following ISIC Rev.4 four-digit codes: 5510, 5520, 5590, 5610, 5629, 5630, 6810, 6820, 4911, 4922, 5011, 5021, 5110, 7710, 7721, 9000, 9102, 9103, 9200, 9311, 9319, 9321, 9329, 7911, 7912, and 7990.</w:t>
      </w:r>
    </w:p>
  </w:footnote>
  <w:footnote w:id="4">
    <w:p w14:paraId="3533F73A" w14:textId="17AA08FE" w:rsidR="00FB1262" w:rsidRPr="00FB1262" w:rsidRDefault="00FB1262" w:rsidP="00FB1262">
      <w:pPr>
        <w:pStyle w:val="FootnoteText"/>
        <w:jc w:val="both"/>
      </w:pPr>
      <w:r w:rsidRPr="00FB1262">
        <w:rPr>
          <w:rStyle w:val="FootnoteReference"/>
        </w:rPr>
        <w:footnoteRef/>
      </w:r>
      <w:r w:rsidRPr="00FB1262">
        <w:rPr>
          <w:rStyle w:val="FootnoteReference"/>
        </w:rPr>
        <w:t xml:space="preserve"> </w:t>
      </w:r>
      <w:r w:rsidRPr="00FB1262">
        <w:rPr>
          <w:rFonts w:ascii="Calibri" w:hAnsi="Calibri" w:cs="Calibri"/>
        </w:rPr>
        <w:t xml:space="preserve">Although self-employment is reported separately in the U.S. National Employment Matrix and is therefore excluded from the industry–occupation mapping, an additional adjustment is applied for agribusiness primary activities (ISIC divisions 01–03) to ensure consistency with the sector definition. Specifically, the agribusiness definition includes wage employment only in divisions 01–03, while all employment is included in ISIC divisions 10–12. To operationalize this definition, occupation-level employment in ISIC divisions 01–03 is scaled using sector-level wage employment shares from the 2024 Current Population Survey (CPS), Table 15. The resulting adjustment factor is </w:t>
      </w:r>
      <w:r>
        <w:rPr>
          <w:rFonts w:ascii="Calibri" w:hAnsi="Calibri" w:cs="Calibri"/>
        </w:rPr>
        <w:t>0.694</w:t>
      </w:r>
      <w:r w:rsidRPr="00FB1262">
        <w:rPr>
          <w:rFonts w:ascii="Calibri" w:hAnsi="Calibri" w:cs="Calibri"/>
        </w:rPr>
        <w:t>, corresponding to the share of wage employment in total employment in these divisions.</w:t>
      </w:r>
    </w:p>
  </w:footnote>
  <w:footnote w:id="5">
    <w:p w14:paraId="383CE578" w14:textId="7A2FBFEB" w:rsidR="00690926" w:rsidRPr="00690926" w:rsidRDefault="00690926">
      <w:pPr>
        <w:pStyle w:val="FootnoteText"/>
        <w:rPr>
          <w:rFonts w:ascii="Calibri" w:hAnsi="Calibri" w:cs="Calibri"/>
        </w:rPr>
      </w:pPr>
      <w:r w:rsidRPr="00690926">
        <w:rPr>
          <w:rStyle w:val="FootnoteReference"/>
          <w:rFonts w:ascii="Calibri" w:hAnsi="Calibri" w:cs="Calibri"/>
        </w:rPr>
        <w:footnoteRef/>
      </w:r>
      <w:r w:rsidRPr="00690926">
        <w:rPr>
          <w:rFonts w:ascii="Calibri" w:hAnsi="Calibri" w:cs="Calibri"/>
        </w:rPr>
        <w:t xml:space="preserve"> Detailed definitions of on-the-job training categories are available in the BLS Occupational Outlook Handbook glossary: </w:t>
      </w:r>
      <w:hyperlink r:id="rId1" w:tgtFrame="_new" w:history="1">
        <w:r w:rsidRPr="00690926">
          <w:rPr>
            <w:rStyle w:val="Hyperlink"/>
            <w:rFonts w:ascii="Calibri" w:hAnsi="Calibri" w:cs="Calibri"/>
          </w:rPr>
          <w:t>https://www.bls.gov/ooh/about/glossary.htm</w:t>
        </w:r>
      </w:hyperlink>
    </w:p>
  </w:footnote>
  <w:footnote w:id="6">
    <w:p w14:paraId="08A548A8" w14:textId="77777777" w:rsidR="00F77499" w:rsidRPr="00F77499" w:rsidRDefault="009F07B0" w:rsidP="00F77499">
      <w:pPr>
        <w:pStyle w:val="FootnoteText"/>
        <w:jc w:val="both"/>
        <w:rPr>
          <w:rFonts w:ascii="Calibri" w:hAnsi="Calibri" w:cs="Calibri"/>
        </w:rPr>
      </w:pPr>
      <w:r w:rsidRPr="00F77499">
        <w:rPr>
          <w:rStyle w:val="FootnoteReference"/>
          <w:rFonts w:ascii="Calibri" w:hAnsi="Calibri" w:cs="Calibri"/>
        </w:rPr>
        <w:footnoteRef/>
      </w:r>
      <w:r w:rsidRPr="00F77499">
        <w:rPr>
          <w:rFonts w:ascii="Calibri" w:hAnsi="Calibri" w:cs="Calibri"/>
        </w:rPr>
        <w:t xml:space="preserve"> </w:t>
      </w:r>
      <w:r w:rsidR="00F77499" w:rsidRPr="00F77499">
        <w:rPr>
          <w:rFonts w:ascii="Calibri" w:hAnsi="Calibri" w:cs="Calibri"/>
        </w:rPr>
        <w:t xml:space="preserve">Skill measures are drawn from the O*NET Content Model and are based on ratings provided by trained occupational analysts, as indicated by the Domain Source = Analyst in the O*NET skills database. Analysts are provided with detailed occupational information—including task statements and standardized occupational descriptors—to facilitate the skill rating process. For each occupation–skill pair, eight trained occupational analysts independently provide ratings, and the value reported in the database corresponds to the arithmetic mean of these ratings (Fleisher and </w:t>
      </w:r>
      <w:proofErr w:type="spellStart"/>
      <w:r w:rsidR="00F77499" w:rsidRPr="00F77499">
        <w:rPr>
          <w:rFonts w:ascii="Calibri" w:hAnsi="Calibri" w:cs="Calibri"/>
        </w:rPr>
        <w:t>Tsacoumis</w:t>
      </w:r>
      <w:proofErr w:type="spellEnd"/>
      <w:r w:rsidR="00F77499" w:rsidRPr="00F77499">
        <w:rPr>
          <w:rFonts w:ascii="Calibri" w:hAnsi="Calibri" w:cs="Calibri"/>
        </w:rPr>
        <w:t>, 2018).</w:t>
      </w:r>
    </w:p>
    <w:p w14:paraId="687CB596" w14:textId="102C2572" w:rsidR="00F77499" w:rsidRPr="00F77499" w:rsidRDefault="00F77499" w:rsidP="00F77499">
      <w:pPr>
        <w:pStyle w:val="FootnoteText"/>
        <w:ind w:firstLine="113"/>
        <w:jc w:val="both"/>
        <w:rPr>
          <w:rFonts w:ascii="Calibri" w:hAnsi="Calibri" w:cs="Calibri"/>
        </w:rPr>
      </w:pPr>
      <w:r w:rsidRPr="00F77499">
        <w:rPr>
          <w:rFonts w:ascii="Calibri" w:hAnsi="Calibri" w:cs="Calibri"/>
        </w:rPr>
        <w:t>Skill importance is rated using the question “How important is this skill to the performance of the occupation?” and recorded on a five-point ordinal scale (1 = Not important; 2 = Somewhat important; 3 = Important; 4 = Very important; 5 = Extremely important). Skill level (proficiency) is rated using the question “What level of this skill is needed to perform the occupation?” and recorded on a seven-point scale (0–7) reflecting increasing complexity, autonomy, and judgment in skill application, following the standard definitions used in the O*NET Abilities and Occupational Skills framework (Burgoyne and Reeder, 2025).</w:t>
      </w:r>
    </w:p>
    <w:p w14:paraId="612AD36A" w14:textId="77777777" w:rsidR="00F77499" w:rsidRPr="00F77499" w:rsidRDefault="00F77499" w:rsidP="00F77499">
      <w:pPr>
        <w:pStyle w:val="FootnoteText"/>
        <w:ind w:firstLine="113"/>
        <w:jc w:val="both"/>
        <w:rPr>
          <w:rFonts w:ascii="Calibri" w:hAnsi="Calibri" w:cs="Calibri"/>
        </w:rPr>
      </w:pPr>
      <w:r w:rsidRPr="00F77499">
        <w:rPr>
          <w:rFonts w:ascii="Calibri" w:hAnsi="Calibri" w:cs="Calibri"/>
        </w:rPr>
        <w:t>Skill level ratings are anchored to behavioral descriptions that illustrate concrete work activities at different points along the proficiency scale. These behavioral anchors are defined ex ante and applied consistently across occupations. For example, for the skill Writing, a lower-level anchor corresponds to “Write down a guest’s order at a restaurant” (Level 2), while a higher-level anchor corresponds to “Write an email to staff outlining new directives” (Level 4), illustrating how proficiency levels are grounded in observable job tasks (Crawford et al., 2021).</w:t>
      </w:r>
    </w:p>
    <w:p w14:paraId="5DC6BB9D" w14:textId="0E0FBC8D" w:rsidR="009F07B0" w:rsidRPr="009F07B0" w:rsidRDefault="00F77499" w:rsidP="00F77499">
      <w:pPr>
        <w:pStyle w:val="FootnoteText"/>
        <w:ind w:firstLine="113"/>
        <w:jc w:val="both"/>
      </w:pPr>
      <w:r w:rsidRPr="00F77499">
        <w:rPr>
          <w:rFonts w:ascii="Calibri" w:hAnsi="Calibri" w:cs="Calibri"/>
        </w:rPr>
        <w:t>By anchoring ratings to concrete behavioral examples and aggregating assessments across multiple trained analysts using standardized procedures, O*NET ensures internal consistency and cross-occupation comparability of both skill importance and skill level measures across technical and non-technical skill domains.</w:t>
      </w:r>
    </w:p>
  </w:footnote>
  <w:footnote w:id="7">
    <w:p w14:paraId="2036FC95" w14:textId="10A2E8B1" w:rsidR="00256E67" w:rsidRPr="00256E67" w:rsidRDefault="00256E67">
      <w:pPr>
        <w:pStyle w:val="FootnoteText"/>
        <w:rPr>
          <w:rFonts w:ascii="Calibri" w:hAnsi="Calibri" w:cs="Calibri"/>
        </w:rPr>
      </w:pPr>
      <w:r w:rsidRPr="00256E67">
        <w:rPr>
          <w:rStyle w:val="FootnoteReference"/>
          <w:rFonts w:ascii="Calibri" w:hAnsi="Calibri" w:cs="Calibri"/>
        </w:rPr>
        <w:footnoteRef/>
      </w:r>
      <w:r w:rsidRPr="00256E67">
        <w:rPr>
          <w:rFonts w:ascii="Calibri" w:hAnsi="Calibri" w:cs="Calibri"/>
        </w:rPr>
        <w:t xml:space="preserve"> </w:t>
      </w:r>
      <w:r w:rsidR="00300ACA" w:rsidRPr="00300ACA">
        <w:rPr>
          <w:rFonts w:ascii="Calibri" w:hAnsi="Calibri" w:cs="Calibri"/>
        </w:rPr>
        <w:t>In the case of Bangladesh, informality is proxied by the share of wage employees without a labor contract.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CC1"/>
    <w:multiLevelType w:val="multilevel"/>
    <w:tmpl w:val="D8A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1088"/>
    <w:multiLevelType w:val="multilevel"/>
    <w:tmpl w:val="B900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146BE"/>
    <w:multiLevelType w:val="multilevel"/>
    <w:tmpl w:val="4FC4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20DA6"/>
    <w:multiLevelType w:val="multilevel"/>
    <w:tmpl w:val="9E2C87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F72279"/>
    <w:multiLevelType w:val="multilevel"/>
    <w:tmpl w:val="5686C292"/>
    <w:lvl w:ilvl="0">
      <w:start w:val="3"/>
      <w:numFmt w:val="decimal"/>
      <w:lvlText w:val="%1."/>
      <w:lvlJc w:val="left"/>
      <w:pPr>
        <w:ind w:left="360" w:hanging="360"/>
      </w:pPr>
      <w:rPr>
        <w:rFonts w:hint="default"/>
        <w:b/>
        <w:i w:val="0"/>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5" w15:restartNumberingAfterBreak="0">
    <w:nsid w:val="06465335"/>
    <w:multiLevelType w:val="hybridMultilevel"/>
    <w:tmpl w:val="3BF6C56E"/>
    <w:lvl w:ilvl="0" w:tplc="19DC4EAE">
      <w:numFmt w:val="bullet"/>
      <w:lvlText w:val=""/>
      <w:lvlJc w:val="left"/>
      <w:pPr>
        <w:ind w:left="720" w:hanging="360"/>
      </w:pPr>
      <w:rPr>
        <w:rFonts w:ascii="Symbol" w:eastAsiaTheme="minorHAnsi" w:hAnsi="Symbol" w:cstheme="minorBidi" w:hint="default"/>
        <w:color w:val="auto"/>
      </w:rPr>
    </w:lvl>
    <w:lvl w:ilvl="1" w:tplc="8B862696">
      <w:start w:val="1"/>
      <w:numFmt w:val="bullet"/>
      <w:lvlText w:val="o"/>
      <w:lvlJc w:val="left"/>
      <w:pPr>
        <w:ind w:left="1440" w:hanging="360"/>
      </w:pPr>
      <w:rPr>
        <w:rFonts w:ascii="Courier New" w:hAnsi="Courier New" w:cs="Courier New" w:hint="default"/>
        <w:color w:val="auto"/>
      </w:rPr>
    </w:lvl>
    <w:lvl w:ilvl="2" w:tplc="92961730">
      <w:start w:val="1"/>
      <w:numFmt w:val="bullet"/>
      <w:lvlText w:val=""/>
      <w:lvlJc w:val="left"/>
      <w:pPr>
        <w:ind w:left="2160" w:hanging="360"/>
      </w:pPr>
      <w:rPr>
        <w:rFonts w:ascii="Wingdings" w:hAnsi="Wingdings" w:hint="default"/>
        <w:color w:val="auto"/>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A5A5D"/>
    <w:multiLevelType w:val="multilevel"/>
    <w:tmpl w:val="EE4E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F7AC1"/>
    <w:multiLevelType w:val="multilevel"/>
    <w:tmpl w:val="14E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02BCB"/>
    <w:multiLevelType w:val="multilevel"/>
    <w:tmpl w:val="831A1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82E38"/>
    <w:multiLevelType w:val="multilevel"/>
    <w:tmpl w:val="55AC3B8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10861DED"/>
    <w:multiLevelType w:val="hybridMultilevel"/>
    <w:tmpl w:val="990CF9D6"/>
    <w:lvl w:ilvl="0" w:tplc="19DC4EAE">
      <w:numFmt w:val="bullet"/>
      <w:lvlText w:val=""/>
      <w:lvlJc w:val="left"/>
      <w:pPr>
        <w:ind w:left="720" w:hanging="360"/>
      </w:pPr>
      <w:rPr>
        <w:rFonts w:ascii="Symbol" w:eastAsiaTheme="minorHAnsi" w:hAnsi="Symbol" w:cstheme="minorBid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B1799F"/>
    <w:multiLevelType w:val="multilevel"/>
    <w:tmpl w:val="E38054C6"/>
    <w:lvl w:ilvl="0">
      <w:start w:val="3"/>
      <w:numFmt w:val="decimal"/>
      <w:lvlText w:val="%1."/>
      <w:lvlJc w:val="left"/>
      <w:pPr>
        <w:ind w:left="360" w:hanging="360"/>
      </w:pPr>
      <w:rPr>
        <w:rFonts w:hint="default"/>
        <w:b/>
        <w:i w:val="0"/>
      </w:rPr>
    </w:lvl>
    <w:lvl w:ilvl="1">
      <w:numFmt w:val="bullet"/>
      <w:lvlText w:val=""/>
      <w:lvlJc w:val="left"/>
      <w:pPr>
        <w:ind w:left="360" w:hanging="360"/>
      </w:pPr>
      <w:rPr>
        <w:rFonts w:ascii="Symbol" w:eastAsiaTheme="minorHAnsi" w:hAnsi="Symbol" w:cstheme="minorBidi" w:hint="default"/>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12" w15:restartNumberingAfterBreak="0">
    <w:nsid w:val="155230A4"/>
    <w:multiLevelType w:val="multilevel"/>
    <w:tmpl w:val="A67A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2254B"/>
    <w:multiLevelType w:val="multilevel"/>
    <w:tmpl w:val="7082A71C"/>
    <w:lvl w:ilvl="0">
      <w:numFmt w:val="bullet"/>
      <w:lvlText w:val=""/>
      <w:lvlJc w:val="left"/>
      <w:pPr>
        <w:ind w:left="720" w:hanging="360"/>
      </w:pPr>
      <w:rPr>
        <w:rFonts w:ascii="Symbol" w:eastAsiaTheme="minorHAnsi" w:hAnsi="Symbol" w:cstheme="minorBidi" w:hint="default"/>
        <w:b/>
        <w:i w:val="0"/>
      </w:rPr>
    </w:lvl>
    <w:lvl w:ilvl="1">
      <w:numFmt w:val="bullet"/>
      <w:lvlText w:val=""/>
      <w:lvlJc w:val="left"/>
      <w:pPr>
        <w:ind w:left="720" w:hanging="360"/>
      </w:pPr>
      <w:rPr>
        <w:rFonts w:ascii="Symbol" w:eastAsiaTheme="minorHAnsi" w:hAnsi="Symbol" w:cstheme="minorBidi" w:hint="default"/>
      </w:rPr>
    </w:lvl>
    <w:lvl w:ilvl="2">
      <w:start w:val="1"/>
      <w:numFmt w:val="bullet"/>
      <w:lvlText w:val="o"/>
      <w:lvlJc w:val="left"/>
      <w:pPr>
        <w:ind w:left="720" w:hanging="360"/>
      </w:pPr>
      <w:rPr>
        <w:rFonts w:ascii="Courier New" w:hAnsi="Courier New" w:cs="Courier New" w:hint="default"/>
      </w:rPr>
    </w:lvl>
    <w:lvl w:ilvl="3">
      <w:start w:val="1"/>
      <w:numFmt w:val="bullet"/>
      <w:lvlText w:val="o"/>
      <w:lvlJc w:val="left"/>
      <w:pPr>
        <w:ind w:left="720" w:hanging="360"/>
      </w:pPr>
      <w:rPr>
        <w:rFonts w:ascii="Courier New" w:hAnsi="Courier New" w:cs="Courier New" w:hint="default"/>
      </w:rPr>
    </w:lvl>
    <w:lvl w:ilvl="4">
      <w:start w:val="1"/>
      <w:numFmt w:val="decimal"/>
      <w:lvlText w:val="%1.%2.%3.%4.%5."/>
      <w:lvlJc w:val="left"/>
      <w:pPr>
        <w:ind w:left="1440" w:hanging="1080"/>
      </w:pPr>
      <w:rPr>
        <w:rFonts w:hint="default"/>
        <w:b/>
        <w:i w:val="0"/>
      </w:rPr>
    </w:lvl>
    <w:lvl w:ilvl="5">
      <w:start w:val="1"/>
      <w:numFmt w:val="decimal"/>
      <w:lvlText w:val="%1.%2.%3.%4.%5.%6."/>
      <w:lvlJc w:val="left"/>
      <w:pPr>
        <w:ind w:left="1440" w:hanging="1080"/>
      </w:pPr>
      <w:rPr>
        <w:rFonts w:hint="default"/>
        <w:b/>
        <w:i w:val="0"/>
      </w:rPr>
    </w:lvl>
    <w:lvl w:ilvl="6">
      <w:start w:val="1"/>
      <w:numFmt w:val="decimal"/>
      <w:lvlText w:val="%1.%2.%3.%4.%5.%6.%7."/>
      <w:lvlJc w:val="left"/>
      <w:pPr>
        <w:ind w:left="1800" w:hanging="1440"/>
      </w:pPr>
      <w:rPr>
        <w:rFonts w:hint="default"/>
        <w:b/>
        <w:i w:val="0"/>
      </w:rPr>
    </w:lvl>
    <w:lvl w:ilvl="7">
      <w:start w:val="1"/>
      <w:numFmt w:val="decimal"/>
      <w:lvlText w:val="%1.%2.%3.%4.%5.%6.%7.%8."/>
      <w:lvlJc w:val="left"/>
      <w:pPr>
        <w:ind w:left="1800" w:hanging="1440"/>
      </w:pPr>
      <w:rPr>
        <w:rFonts w:hint="default"/>
        <w:b/>
        <w:i w:val="0"/>
      </w:rPr>
    </w:lvl>
    <w:lvl w:ilvl="8">
      <w:start w:val="1"/>
      <w:numFmt w:val="decimal"/>
      <w:lvlText w:val="%1.%2.%3.%4.%5.%6.%7.%8.%9."/>
      <w:lvlJc w:val="left"/>
      <w:pPr>
        <w:ind w:left="2160" w:hanging="1800"/>
      </w:pPr>
      <w:rPr>
        <w:rFonts w:hint="default"/>
        <w:b/>
        <w:i w:val="0"/>
      </w:rPr>
    </w:lvl>
  </w:abstractNum>
  <w:abstractNum w:abstractNumId="14" w15:restartNumberingAfterBreak="0">
    <w:nsid w:val="194642F8"/>
    <w:multiLevelType w:val="hybridMultilevel"/>
    <w:tmpl w:val="C3A2955C"/>
    <w:lvl w:ilvl="0" w:tplc="19DC4EAE">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027039"/>
    <w:multiLevelType w:val="multilevel"/>
    <w:tmpl w:val="F13078FA"/>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1BC04669"/>
    <w:multiLevelType w:val="multilevel"/>
    <w:tmpl w:val="CA94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A480B"/>
    <w:multiLevelType w:val="hybridMultilevel"/>
    <w:tmpl w:val="2A42837A"/>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8" w15:restartNumberingAfterBreak="0">
    <w:nsid w:val="1CEE0941"/>
    <w:multiLevelType w:val="hybridMultilevel"/>
    <w:tmpl w:val="5B682134"/>
    <w:lvl w:ilvl="0" w:tplc="19DC4EAE">
      <w:numFmt w:val="bullet"/>
      <w:lvlText w:val=""/>
      <w:lvlJc w:val="left"/>
      <w:pPr>
        <w:ind w:left="360" w:hanging="360"/>
      </w:pPr>
      <w:rPr>
        <w:rFonts w:ascii="Symbol" w:eastAsiaTheme="minorHAnsi" w:hAnsi="Symbol" w:cstheme="minorBid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7314858"/>
    <w:multiLevelType w:val="multilevel"/>
    <w:tmpl w:val="66124522"/>
    <w:lvl w:ilvl="0">
      <w:start w:val="2"/>
      <w:numFmt w:val="decimal"/>
      <w:lvlText w:val="%1."/>
      <w:lvlJc w:val="left"/>
      <w:pPr>
        <w:ind w:left="360" w:hanging="360"/>
      </w:pPr>
      <w:rPr>
        <w:rFonts w:hint="default"/>
        <w:color w:val="0070C0"/>
      </w:rPr>
    </w:lvl>
    <w:lvl w:ilvl="1">
      <w:start w:val="1"/>
      <w:numFmt w:val="decimal"/>
      <w:lvlText w:val="%1.%2."/>
      <w:lvlJc w:val="left"/>
      <w:pPr>
        <w:ind w:left="360" w:hanging="360"/>
      </w:pPr>
      <w:rPr>
        <w:rFonts w:hint="default"/>
        <w:b/>
        <w:bCs/>
        <w:color w:val="auto"/>
      </w:rPr>
    </w:lvl>
    <w:lvl w:ilvl="2">
      <w:start w:val="1"/>
      <w:numFmt w:val="decimal"/>
      <w:lvlText w:val="%1.%2.%3."/>
      <w:lvlJc w:val="left"/>
      <w:pPr>
        <w:ind w:left="720" w:hanging="720"/>
      </w:pPr>
      <w:rPr>
        <w:rFonts w:hint="default"/>
        <w:color w:val="0070C0"/>
      </w:rPr>
    </w:lvl>
    <w:lvl w:ilvl="3">
      <w:start w:val="1"/>
      <w:numFmt w:val="decimal"/>
      <w:lvlText w:val="%1.%2.%3.%4."/>
      <w:lvlJc w:val="left"/>
      <w:pPr>
        <w:ind w:left="720" w:hanging="72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080" w:hanging="1080"/>
      </w:pPr>
      <w:rPr>
        <w:rFonts w:hint="default"/>
        <w:color w:val="0070C0"/>
      </w:rPr>
    </w:lvl>
    <w:lvl w:ilvl="6">
      <w:start w:val="1"/>
      <w:numFmt w:val="decimal"/>
      <w:lvlText w:val="%1.%2.%3.%4.%5.%6.%7."/>
      <w:lvlJc w:val="left"/>
      <w:pPr>
        <w:ind w:left="1440" w:hanging="1440"/>
      </w:pPr>
      <w:rPr>
        <w:rFonts w:hint="default"/>
        <w:color w:val="0070C0"/>
      </w:rPr>
    </w:lvl>
    <w:lvl w:ilvl="7">
      <w:start w:val="1"/>
      <w:numFmt w:val="decimal"/>
      <w:lvlText w:val="%1.%2.%3.%4.%5.%6.%7.%8."/>
      <w:lvlJc w:val="left"/>
      <w:pPr>
        <w:ind w:left="1440" w:hanging="1440"/>
      </w:pPr>
      <w:rPr>
        <w:rFonts w:hint="default"/>
        <w:color w:val="0070C0"/>
      </w:rPr>
    </w:lvl>
    <w:lvl w:ilvl="8">
      <w:start w:val="1"/>
      <w:numFmt w:val="decimal"/>
      <w:lvlText w:val="%1.%2.%3.%4.%5.%6.%7.%8.%9."/>
      <w:lvlJc w:val="left"/>
      <w:pPr>
        <w:ind w:left="1800" w:hanging="1800"/>
      </w:pPr>
      <w:rPr>
        <w:rFonts w:hint="default"/>
        <w:color w:val="0070C0"/>
      </w:rPr>
    </w:lvl>
  </w:abstractNum>
  <w:abstractNum w:abstractNumId="20" w15:restartNumberingAfterBreak="0">
    <w:nsid w:val="29502EFD"/>
    <w:multiLevelType w:val="multilevel"/>
    <w:tmpl w:val="B9B2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D330E4"/>
    <w:multiLevelType w:val="multilevel"/>
    <w:tmpl w:val="D2A2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734E1"/>
    <w:multiLevelType w:val="multilevel"/>
    <w:tmpl w:val="CA6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0364B"/>
    <w:multiLevelType w:val="multilevel"/>
    <w:tmpl w:val="442EFEB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ECA48AE"/>
    <w:multiLevelType w:val="multilevel"/>
    <w:tmpl w:val="F05227DA"/>
    <w:lvl w:ilvl="0">
      <w:start w:val="1"/>
      <w:numFmt w:val="bullet"/>
      <w:lvlText w:val=""/>
      <w:lvlJc w:val="left"/>
      <w:pPr>
        <w:ind w:left="720" w:hanging="360"/>
      </w:pPr>
      <w:rPr>
        <w:rFonts w:ascii="Symbol" w:hAnsi="Symbol" w:hint="default"/>
        <w:b/>
        <w:i w:val="0"/>
        <w:sz w:val="20"/>
        <w:szCs w:val="20"/>
      </w:rPr>
    </w:lvl>
    <w:lvl w:ilvl="1">
      <w:numFmt w:val="bullet"/>
      <w:lvlText w:val=""/>
      <w:lvlJc w:val="left"/>
      <w:pPr>
        <w:ind w:left="720" w:hanging="360"/>
      </w:pPr>
      <w:rPr>
        <w:rFonts w:ascii="Symbol" w:eastAsiaTheme="minorHAnsi" w:hAnsi="Symbol" w:cstheme="minorBidi" w:hint="default"/>
      </w:rPr>
    </w:lvl>
    <w:lvl w:ilvl="2">
      <w:start w:val="1"/>
      <w:numFmt w:val="decimal"/>
      <w:lvlText w:val="%1.%2.%3."/>
      <w:lvlJc w:val="left"/>
      <w:pPr>
        <w:ind w:left="1080" w:hanging="720"/>
      </w:pPr>
      <w:rPr>
        <w:rFonts w:hint="default"/>
        <w:b/>
        <w:i w:val="0"/>
      </w:rPr>
    </w:lvl>
    <w:lvl w:ilvl="3">
      <w:start w:val="1"/>
      <w:numFmt w:val="decimal"/>
      <w:lvlText w:val="%1.%2.%3.%4."/>
      <w:lvlJc w:val="left"/>
      <w:pPr>
        <w:ind w:left="1080" w:hanging="720"/>
      </w:pPr>
      <w:rPr>
        <w:rFonts w:hint="default"/>
        <w:b/>
        <w:i w:val="0"/>
      </w:rPr>
    </w:lvl>
    <w:lvl w:ilvl="4">
      <w:start w:val="1"/>
      <w:numFmt w:val="decimal"/>
      <w:lvlText w:val="%1.%2.%3.%4.%5."/>
      <w:lvlJc w:val="left"/>
      <w:pPr>
        <w:ind w:left="1440" w:hanging="1080"/>
      </w:pPr>
      <w:rPr>
        <w:rFonts w:hint="default"/>
        <w:b/>
        <w:i w:val="0"/>
      </w:rPr>
    </w:lvl>
    <w:lvl w:ilvl="5">
      <w:start w:val="1"/>
      <w:numFmt w:val="decimal"/>
      <w:lvlText w:val="%1.%2.%3.%4.%5.%6."/>
      <w:lvlJc w:val="left"/>
      <w:pPr>
        <w:ind w:left="1440" w:hanging="1080"/>
      </w:pPr>
      <w:rPr>
        <w:rFonts w:hint="default"/>
        <w:b/>
        <w:i w:val="0"/>
      </w:rPr>
    </w:lvl>
    <w:lvl w:ilvl="6">
      <w:start w:val="1"/>
      <w:numFmt w:val="decimal"/>
      <w:lvlText w:val="%1.%2.%3.%4.%5.%6.%7."/>
      <w:lvlJc w:val="left"/>
      <w:pPr>
        <w:ind w:left="1800" w:hanging="1440"/>
      </w:pPr>
      <w:rPr>
        <w:rFonts w:hint="default"/>
        <w:b/>
        <w:i w:val="0"/>
      </w:rPr>
    </w:lvl>
    <w:lvl w:ilvl="7">
      <w:start w:val="1"/>
      <w:numFmt w:val="decimal"/>
      <w:lvlText w:val="%1.%2.%3.%4.%5.%6.%7.%8."/>
      <w:lvlJc w:val="left"/>
      <w:pPr>
        <w:ind w:left="1800" w:hanging="1440"/>
      </w:pPr>
      <w:rPr>
        <w:rFonts w:hint="default"/>
        <w:b/>
        <w:i w:val="0"/>
      </w:rPr>
    </w:lvl>
    <w:lvl w:ilvl="8">
      <w:start w:val="1"/>
      <w:numFmt w:val="decimal"/>
      <w:lvlText w:val="%1.%2.%3.%4.%5.%6.%7.%8.%9."/>
      <w:lvlJc w:val="left"/>
      <w:pPr>
        <w:ind w:left="2160" w:hanging="1800"/>
      </w:pPr>
      <w:rPr>
        <w:rFonts w:hint="default"/>
        <w:b/>
        <w:i w:val="0"/>
      </w:rPr>
    </w:lvl>
  </w:abstractNum>
  <w:abstractNum w:abstractNumId="25" w15:restartNumberingAfterBreak="0">
    <w:nsid w:val="2F127374"/>
    <w:multiLevelType w:val="hybridMultilevel"/>
    <w:tmpl w:val="7C5EA786"/>
    <w:lvl w:ilvl="0" w:tplc="19DC4EAE">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313760"/>
    <w:multiLevelType w:val="hybridMultilevel"/>
    <w:tmpl w:val="3D44A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A94935"/>
    <w:multiLevelType w:val="multilevel"/>
    <w:tmpl w:val="9AF07054"/>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474754A"/>
    <w:multiLevelType w:val="hybridMultilevel"/>
    <w:tmpl w:val="E9DA17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379F0DD1"/>
    <w:multiLevelType w:val="hybridMultilevel"/>
    <w:tmpl w:val="842E7FE6"/>
    <w:lvl w:ilvl="0" w:tplc="19DC4EAE">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B76B44"/>
    <w:multiLevelType w:val="hybridMultilevel"/>
    <w:tmpl w:val="99944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EF0F53"/>
    <w:multiLevelType w:val="hybridMultilevel"/>
    <w:tmpl w:val="247E7C68"/>
    <w:lvl w:ilvl="0" w:tplc="19DC4EAE">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EC6CF1"/>
    <w:multiLevelType w:val="hybridMultilevel"/>
    <w:tmpl w:val="4B7C3FB0"/>
    <w:lvl w:ilvl="0" w:tplc="19DC4EAE">
      <w:numFmt w:val="bullet"/>
      <w:lvlText w:val=""/>
      <w:lvlJc w:val="left"/>
      <w:pPr>
        <w:ind w:left="360" w:hanging="360"/>
      </w:pPr>
      <w:rPr>
        <w:rFonts w:ascii="Symbol" w:eastAsiaTheme="minorHAnsi" w:hAnsi="Symbol" w:cstheme="minorBid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5546C8D"/>
    <w:multiLevelType w:val="hybridMultilevel"/>
    <w:tmpl w:val="767A9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8CF65F8"/>
    <w:multiLevelType w:val="multilevel"/>
    <w:tmpl w:val="264801E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E24726"/>
    <w:multiLevelType w:val="hybridMultilevel"/>
    <w:tmpl w:val="FF561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1F3334"/>
    <w:multiLevelType w:val="multilevel"/>
    <w:tmpl w:val="2980927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37" w15:restartNumberingAfterBreak="0">
    <w:nsid w:val="4E3B76E9"/>
    <w:multiLevelType w:val="multilevel"/>
    <w:tmpl w:val="264801E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2F5B57"/>
    <w:multiLevelType w:val="multilevel"/>
    <w:tmpl w:val="CBA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197E2C"/>
    <w:multiLevelType w:val="multilevel"/>
    <w:tmpl w:val="D5D871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7AF1CDC"/>
    <w:multiLevelType w:val="multilevel"/>
    <w:tmpl w:val="515EF872"/>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5B4E0B62"/>
    <w:multiLevelType w:val="hybridMultilevel"/>
    <w:tmpl w:val="DE2E37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F92B6E"/>
    <w:multiLevelType w:val="multilevel"/>
    <w:tmpl w:val="D16A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C9567A"/>
    <w:multiLevelType w:val="multilevel"/>
    <w:tmpl w:val="787EEE92"/>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78525C6"/>
    <w:multiLevelType w:val="multilevel"/>
    <w:tmpl w:val="9FD892C8"/>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45" w15:restartNumberingAfterBreak="0">
    <w:nsid w:val="6CAA10A2"/>
    <w:multiLevelType w:val="multilevel"/>
    <w:tmpl w:val="E90653A6"/>
    <w:lvl w:ilvl="0">
      <w:numFmt w:val="bullet"/>
      <w:lvlText w:val=""/>
      <w:lvlJc w:val="left"/>
      <w:pPr>
        <w:ind w:left="720" w:hanging="360"/>
      </w:pPr>
      <w:rPr>
        <w:rFonts w:ascii="Symbol" w:eastAsiaTheme="minorHAnsi" w:hAnsi="Symbol" w:cstheme="minorBidi" w:hint="default"/>
        <w:b/>
        <w:i w:val="0"/>
      </w:rPr>
    </w:lvl>
    <w:lvl w:ilvl="1">
      <w:numFmt w:val="bullet"/>
      <w:lvlText w:val=""/>
      <w:lvlJc w:val="left"/>
      <w:pPr>
        <w:ind w:left="720" w:hanging="360"/>
      </w:pPr>
      <w:rPr>
        <w:rFonts w:ascii="Symbol" w:eastAsiaTheme="minorHAnsi" w:hAnsi="Symbol" w:cstheme="minorBidi" w:hint="default"/>
      </w:rPr>
    </w:lvl>
    <w:lvl w:ilvl="2">
      <w:start w:val="1"/>
      <w:numFmt w:val="bullet"/>
      <w:lvlText w:val="o"/>
      <w:lvlJc w:val="left"/>
      <w:pPr>
        <w:ind w:left="720" w:hanging="360"/>
      </w:pPr>
      <w:rPr>
        <w:rFonts w:ascii="Courier New" w:hAnsi="Courier New" w:cs="Courier New" w:hint="default"/>
      </w:rPr>
    </w:lvl>
    <w:lvl w:ilvl="3">
      <w:start w:val="1"/>
      <w:numFmt w:val="decimal"/>
      <w:lvlText w:val="%1.%2.%3.%4."/>
      <w:lvlJc w:val="left"/>
      <w:pPr>
        <w:ind w:left="1080" w:hanging="720"/>
      </w:pPr>
      <w:rPr>
        <w:rFonts w:hint="default"/>
        <w:b/>
        <w:i w:val="0"/>
      </w:rPr>
    </w:lvl>
    <w:lvl w:ilvl="4">
      <w:start w:val="1"/>
      <w:numFmt w:val="decimal"/>
      <w:lvlText w:val="%1.%2.%3.%4.%5."/>
      <w:lvlJc w:val="left"/>
      <w:pPr>
        <w:ind w:left="1440" w:hanging="1080"/>
      </w:pPr>
      <w:rPr>
        <w:rFonts w:hint="default"/>
        <w:b/>
        <w:i w:val="0"/>
      </w:rPr>
    </w:lvl>
    <w:lvl w:ilvl="5">
      <w:start w:val="1"/>
      <w:numFmt w:val="decimal"/>
      <w:lvlText w:val="%1.%2.%3.%4.%5.%6."/>
      <w:lvlJc w:val="left"/>
      <w:pPr>
        <w:ind w:left="1440" w:hanging="1080"/>
      </w:pPr>
      <w:rPr>
        <w:rFonts w:hint="default"/>
        <w:b/>
        <w:i w:val="0"/>
      </w:rPr>
    </w:lvl>
    <w:lvl w:ilvl="6">
      <w:start w:val="1"/>
      <w:numFmt w:val="decimal"/>
      <w:lvlText w:val="%1.%2.%3.%4.%5.%6.%7."/>
      <w:lvlJc w:val="left"/>
      <w:pPr>
        <w:ind w:left="1800" w:hanging="1440"/>
      </w:pPr>
      <w:rPr>
        <w:rFonts w:hint="default"/>
        <w:b/>
        <w:i w:val="0"/>
      </w:rPr>
    </w:lvl>
    <w:lvl w:ilvl="7">
      <w:start w:val="1"/>
      <w:numFmt w:val="decimal"/>
      <w:lvlText w:val="%1.%2.%3.%4.%5.%6.%7.%8."/>
      <w:lvlJc w:val="left"/>
      <w:pPr>
        <w:ind w:left="1800" w:hanging="1440"/>
      </w:pPr>
      <w:rPr>
        <w:rFonts w:hint="default"/>
        <w:b/>
        <w:i w:val="0"/>
      </w:rPr>
    </w:lvl>
    <w:lvl w:ilvl="8">
      <w:start w:val="1"/>
      <w:numFmt w:val="decimal"/>
      <w:lvlText w:val="%1.%2.%3.%4.%5.%6.%7.%8.%9."/>
      <w:lvlJc w:val="left"/>
      <w:pPr>
        <w:ind w:left="2160" w:hanging="1800"/>
      </w:pPr>
      <w:rPr>
        <w:rFonts w:hint="default"/>
        <w:b/>
        <w:i w:val="0"/>
      </w:rPr>
    </w:lvl>
  </w:abstractNum>
  <w:abstractNum w:abstractNumId="46" w15:restartNumberingAfterBreak="0">
    <w:nsid w:val="6D5C446F"/>
    <w:multiLevelType w:val="hybridMultilevel"/>
    <w:tmpl w:val="DF4AB26E"/>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7" w15:restartNumberingAfterBreak="0">
    <w:nsid w:val="6FAC72BA"/>
    <w:multiLevelType w:val="hybridMultilevel"/>
    <w:tmpl w:val="0F50F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5FD36E7"/>
    <w:multiLevelType w:val="hybridMultilevel"/>
    <w:tmpl w:val="FE68A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4170A3"/>
    <w:multiLevelType w:val="multilevel"/>
    <w:tmpl w:val="C3D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9974629">
    <w:abstractNumId w:val="8"/>
  </w:num>
  <w:num w:numId="2" w16cid:durableId="1200319676">
    <w:abstractNumId w:val="12"/>
  </w:num>
  <w:num w:numId="3" w16cid:durableId="1284580497">
    <w:abstractNumId w:val="34"/>
  </w:num>
  <w:num w:numId="4" w16cid:durableId="338777969">
    <w:abstractNumId w:val="5"/>
  </w:num>
  <w:num w:numId="5" w16cid:durableId="626281139">
    <w:abstractNumId w:val="3"/>
  </w:num>
  <w:num w:numId="6" w16cid:durableId="52781208">
    <w:abstractNumId w:val="4"/>
  </w:num>
  <w:num w:numId="7" w16cid:durableId="715280892">
    <w:abstractNumId w:val="11"/>
  </w:num>
  <w:num w:numId="8" w16cid:durableId="1739477823">
    <w:abstractNumId w:val="37"/>
  </w:num>
  <w:num w:numId="9" w16cid:durableId="1131939">
    <w:abstractNumId w:val="38"/>
  </w:num>
  <w:num w:numId="10" w16cid:durableId="1353339371">
    <w:abstractNumId w:val="2"/>
  </w:num>
  <w:num w:numId="11" w16cid:durableId="1659991566">
    <w:abstractNumId w:val="6"/>
  </w:num>
  <w:num w:numId="12" w16cid:durableId="805388551">
    <w:abstractNumId w:val="47"/>
  </w:num>
  <w:num w:numId="13" w16cid:durableId="485510875">
    <w:abstractNumId w:val="0"/>
  </w:num>
  <w:num w:numId="14" w16cid:durableId="1936013993">
    <w:abstractNumId w:val="36"/>
  </w:num>
  <w:num w:numId="15" w16cid:durableId="1179808975">
    <w:abstractNumId w:val="19"/>
  </w:num>
  <w:num w:numId="16" w16cid:durableId="661544877">
    <w:abstractNumId w:val="35"/>
  </w:num>
  <w:num w:numId="17" w16cid:durableId="2129084413">
    <w:abstractNumId w:val="23"/>
  </w:num>
  <w:num w:numId="18" w16cid:durableId="946812209">
    <w:abstractNumId w:val="33"/>
  </w:num>
  <w:num w:numId="19" w16cid:durableId="1274702508">
    <w:abstractNumId w:val="15"/>
  </w:num>
  <w:num w:numId="20" w16cid:durableId="1457604339">
    <w:abstractNumId w:val="45"/>
  </w:num>
  <w:num w:numId="21" w16cid:durableId="695738137">
    <w:abstractNumId w:val="24"/>
  </w:num>
  <w:num w:numId="22" w16cid:durableId="1690714230">
    <w:abstractNumId w:val="28"/>
  </w:num>
  <w:num w:numId="23" w16cid:durableId="1380592549">
    <w:abstractNumId w:val="44"/>
  </w:num>
  <w:num w:numId="24" w16cid:durableId="2055695530">
    <w:abstractNumId w:val="43"/>
  </w:num>
  <w:num w:numId="25" w16cid:durableId="1936589658">
    <w:abstractNumId w:val="27"/>
  </w:num>
  <w:num w:numId="26" w16cid:durableId="1517496287">
    <w:abstractNumId w:val="30"/>
  </w:num>
  <w:num w:numId="27" w16cid:durableId="1698851884">
    <w:abstractNumId w:val="26"/>
  </w:num>
  <w:num w:numId="28" w16cid:durableId="1787042515">
    <w:abstractNumId w:val="13"/>
  </w:num>
  <w:num w:numId="29" w16cid:durableId="1578519690">
    <w:abstractNumId w:val="40"/>
  </w:num>
  <w:num w:numId="30" w16cid:durableId="268512959">
    <w:abstractNumId w:val="17"/>
  </w:num>
  <w:num w:numId="31" w16cid:durableId="548807391">
    <w:abstractNumId w:val="41"/>
  </w:num>
  <w:num w:numId="32" w16cid:durableId="773406660">
    <w:abstractNumId w:val="1"/>
  </w:num>
  <w:num w:numId="33" w16cid:durableId="106657627">
    <w:abstractNumId w:val="49"/>
  </w:num>
  <w:num w:numId="34" w16cid:durableId="1741173390">
    <w:abstractNumId w:val="18"/>
  </w:num>
  <w:num w:numId="35" w16cid:durableId="1320958833">
    <w:abstractNumId w:val="25"/>
  </w:num>
  <w:num w:numId="36" w16cid:durableId="752701143">
    <w:abstractNumId w:val="32"/>
  </w:num>
  <w:num w:numId="37" w16cid:durableId="1647978519">
    <w:abstractNumId w:val="31"/>
  </w:num>
  <w:num w:numId="38" w16cid:durableId="174462357">
    <w:abstractNumId w:val="14"/>
  </w:num>
  <w:num w:numId="39" w16cid:durableId="291909795">
    <w:abstractNumId w:val="10"/>
  </w:num>
  <w:num w:numId="40" w16cid:durableId="2000159761">
    <w:abstractNumId w:val="29"/>
  </w:num>
  <w:num w:numId="41" w16cid:durableId="527910058">
    <w:abstractNumId w:val="48"/>
  </w:num>
  <w:num w:numId="42" w16cid:durableId="574751126">
    <w:abstractNumId w:val="20"/>
  </w:num>
  <w:num w:numId="43" w16cid:durableId="877015095">
    <w:abstractNumId w:val="22"/>
  </w:num>
  <w:num w:numId="44" w16cid:durableId="1142117932">
    <w:abstractNumId w:val="42"/>
  </w:num>
  <w:num w:numId="45" w16cid:durableId="950280564">
    <w:abstractNumId w:val="16"/>
  </w:num>
  <w:num w:numId="46" w16cid:durableId="832380475">
    <w:abstractNumId w:val="46"/>
  </w:num>
  <w:num w:numId="47" w16cid:durableId="304166694">
    <w:abstractNumId w:val="9"/>
  </w:num>
  <w:num w:numId="48" w16cid:durableId="455221695">
    <w:abstractNumId w:val="39"/>
  </w:num>
  <w:num w:numId="49" w16cid:durableId="1898126093">
    <w:abstractNumId w:val="7"/>
  </w:num>
  <w:num w:numId="50" w16cid:durableId="4236919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A6C"/>
    <w:rsid w:val="00020061"/>
    <w:rsid w:val="00026B1B"/>
    <w:rsid w:val="00032D3F"/>
    <w:rsid w:val="00035316"/>
    <w:rsid w:val="00035B2E"/>
    <w:rsid w:val="00041355"/>
    <w:rsid w:val="00041DCA"/>
    <w:rsid w:val="000440D0"/>
    <w:rsid w:val="000459F2"/>
    <w:rsid w:val="00046CCD"/>
    <w:rsid w:val="00047E01"/>
    <w:rsid w:val="00050CC3"/>
    <w:rsid w:val="0005270A"/>
    <w:rsid w:val="00055D85"/>
    <w:rsid w:val="000575D4"/>
    <w:rsid w:val="000608F1"/>
    <w:rsid w:val="000622A6"/>
    <w:rsid w:val="000633C5"/>
    <w:rsid w:val="00063D4E"/>
    <w:rsid w:val="00064AC9"/>
    <w:rsid w:val="000660BE"/>
    <w:rsid w:val="00067EAF"/>
    <w:rsid w:val="00072C2B"/>
    <w:rsid w:val="0007359D"/>
    <w:rsid w:val="00073842"/>
    <w:rsid w:val="00075F37"/>
    <w:rsid w:val="00077774"/>
    <w:rsid w:val="00081C91"/>
    <w:rsid w:val="0008392C"/>
    <w:rsid w:val="00085157"/>
    <w:rsid w:val="00085912"/>
    <w:rsid w:val="00086ADD"/>
    <w:rsid w:val="00087BC6"/>
    <w:rsid w:val="000937DA"/>
    <w:rsid w:val="000946D2"/>
    <w:rsid w:val="000A0252"/>
    <w:rsid w:val="000A0757"/>
    <w:rsid w:val="000A18E6"/>
    <w:rsid w:val="000A45DD"/>
    <w:rsid w:val="000A6633"/>
    <w:rsid w:val="000B0856"/>
    <w:rsid w:val="000B13F4"/>
    <w:rsid w:val="000B3396"/>
    <w:rsid w:val="000B3990"/>
    <w:rsid w:val="000B4739"/>
    <w:rsid w:val="000C0A71"/>
    <w:rsid w:val="000C37C9"/>
    <w:rsid w:val="000D011D"/>
    <w:rsid w:val="000D0414"/>
    <w:rsid w:val="000D5370"/>
    <w:rsid w:val="000D667C"/>
    <w:rsid w:val="000F722C"/>
    <w:rsid w:val="00100F6E"/>
    <w:rsid w:val="00105B20"/>
    <w:rsid w:val="00113169"/>
    <w:rsid w:val="0011342D"/>
    <w:rsid w:val="00122DE9"/>
    <w:rsid w:val="001240DD"/>
    <w:rsid w:val="001251D7"/>
    <w:rsid w:val="0012646C"/>
    <w:rsid w:val="00130ADD"/>
    <w:rsid w:val="00134D5B"/>
    <w:rsid w:val="00135B56"/>
    <w:rsid w:val="00136249"/>
    <w:rsid w:val="00137DC5"/>
    <w:rsid w:val="00140849"/>
    <w:rsid w:val="00140C02"/>
    <w:rsid w:val="001470DA"/>
    <w:rsid w:val="0015034D"/>
    <w:rsid w:val="001519C4"/>
    <w:rsid w:val="00152CAE"/>
    <w:rsid w:val="001547F4"/>
    <w:rsid w:val="00161469"/>
    <w:rsid w:val="00161F47"/>
    <w:rsid w:val="001633F7"/>
    <w:rsid w:val="00163D79"/>
    <w:rsid w:val="0017215D"/>
    <w:rsid w:val="0017386B"/>
    <w:rsid w:val="001745D4"/>
    <w:rsid w:val="00177D12"/>
    <w:rsid w:val="00185D54"/>
    <w:rsid w:val="001867B4"/>
    <w:rsid w:val="0019332F"/>
    <w:rsid w:val="001A24E5"/>
    <w:rsid w:val="001A4472"/>
    <w:rsid w:val="001C0507"/>
    <w:rsid w:val="001C1E9D"/>
    <w:rsid w:val="001C408F"/>
    <w:rsid w:val="001C42B5"/>
    <w:rsid w:val="001C555E"/>
    <w:rsid w:val="001C6114"/>
    <w:rsid w:val="001E0167"/>
    <w:rsid w:val="001E1F27"/>
    <w:rsid w:val="001E785B"/>
    <w:rsid w:val="001F23F6"/>
    <w:rsid w:val="001F2845"/>
    <w:rsid w:val="001F3C83"/>
    <w:rsid w:val="00206E93"/>
    <w:rsid w:val="002131B9"/>
    <w:rsid w:val="002138C8"/>
    <w:rsid w:val="00215A02"/>
    <w:rsid w:val="0021728D"/>
    <w:rsid w:val="00225771"/>
    <w:rsid w:val="00226352"/>
    <w:rsid w:val="00233CFC"/>
    <w:rsid w:val="00235905"/>
    <w:rsid w:val="0023771C"/>
    <w:rsid w:val="00237F46"/>
    <w:rsid w:val="00240DAA"/>
    <w:rsid w:val="002436E9"/>
    <w:rsid w:val="00243D90"/>
    <w:rsid w:val="00244DFE"/>
    <w:rsid w:val="00246011"/>
    <w:rsid w:val="002470BA"/>
    <w:rsid w:val="002478A8"/>
    <w:rsid w:val="00253F9E"/>
    <w:rsid w:val="00256E67"/>
    <w:rsid w:val="002632A5"/>
    <w:rsid w:val="0026740D"/>
    <w:rsid w:val="00270611"/>
    <w:rsid w:val="002715D3"/>
    <w:rsid w:val="00271634"/>
    <w:rsid w:val="0027190B"/>
    <w:rsid w:val="0027282E"/>
    <w:rsid w:val="00274EDC"/>
    <w:rsid w:val="0027773F"/>
    <w:rsid w:val="002809D2"/>
    <w:rsid w:val="00281EEC"/>
    <w:rsid w:val="002823AE"/>
    <w:rsid w:val="00282BBD"/>
    <w:rsid w:val="00284AD6"/>
    <w:rsid w:val="00285D58"/>
    <w:rsid w:val="00287A82"/>
    <w:rsid w:val="00287CD0"/>
    <w:rsid w:val="002A4867"/>
    <w:rsid w:val="002A6CF6"/>
    <w:rsid w:val="002B0802"/>
    <w:rsid w:val="002B35E9"/>
    <w:rsid w:val="002B51BE"/>
    <w:rsid w:val="002B6ABF"/>
    <w:rsid w:val="002C13F5"/>
    <w:rsid w:val="002C14C0"/>
    <w:rsid w:val="002C22E7"/>
    <w:rsid w:val="002C2D0F"/>
    <w:rsid w:val="002C4427"/>
    <w:rsid w:val="002C665D"/>
    <w:rsid w:val="002D0C9F"/>
    <w:rsid w:val="002D2C0F"/>
    <w:rsid w:val="002D7F39"/>
    <w:rsid w:val="002E0DAF"/>
    <w:rsid w:val="002E1415"/>
    <w:rsid w:val="002E1457"/>
    <w:rsid w:val="002E5D14"/>
    <w:rsid w:val="002E7BB5"/>
    <w:rsid w:val="002F0066"/>
    <w:rsid w:val="002F2075"/>
    <w:rsid w:val="002F22DA"/>
    <w:rsid w:val="002F249B"/>
    <w:rsid w:val="002F58CC"/>
    <w:rsid w:val="002F58E4"/>
    <w:rsid w:val="002F7F20"/>
    <w:rsid w:val="00300ACA"/>
    <w:rsid w:val="00304997"/>
    <w:rsid w:val="00306C86"/>
    <w:rsid w:val="003110FC"/>
    <w:rsid w:val="00311AB6"/>
    <w:rsid w:val="00314D78"/>
    <w:rsid w:val="00316494"/>
    <w:rsid w:val="00320146"/>
    <w:rsid w:val="003205AC"/>
    <w:rsid w:val="00324BFB"/>
    <w:rsid w:val="00325FA7"/>
    <w:rsid w:val="00326743"/>
    <w:rsid w:val="0034050C"/>
    <w:rsid w:val="00341407"/>
    <w:rsid w:val="00341B8F"/>
    <w:rsid w:val="003456ED"/>
    <w:rsid w:val="00345EE3"/>
    <w:rsid w:val="0035064C"/>
    <w:rsid w:val="0035155A"/>
    <w:rsid w:val="00352193"/>
    <w:rsid w:val="0035375F"/>
    <w:rsid w:val="00354F08"/>
    <w:rsid w:val="0035753A"/>
    <w:rsid w:val="0036074C"/>
    <w:rsid w:val="0036185E"/>
    <w:rsid w:val="00364F1E"/>
    <w:rsid w:val="003658F3"/>
    <w:rsid w:val="00366935"/>
    <w:rsid w:val="00366969"/>
    <w:rsid w:val="00367123"/>
    <w:rsid w:val="003724CB"/>
    <w:rsid w:val="003734AF"/>
    <w:rsid w:val="003764AB"/>
    <w:rsid w:val="00383015"/>
    <w:rsid w:val="00383C7E"/>
    <w:rsid w:val="00384C96"/>
    <w:rsid w:val="00385426"/>
    <w:rsid w:val="00386D5A"/>
    <w:rsid w:val="00387943"/>
    <w:rsid w:val="00390A53"/>
    <w:rsid w:val="00391675"/>
    <w:rsid w:val="00393091"/>
    <w:rsid w:val="003936B7"/>
    <w:rsid w:val="003960B0"/>
    <w:rsid w:val="00396336"/>
    <w:rsid w:val="00397B61"/>
    <w:rsid w:val="00397CF7"/>
    <w:rsid w:val="003A36FF"/>
    <w:rsid w:val="003A3DC4"/>
    <w:rsid w:val="003B5068"/>
    <w:rsid w:val="003B7323"/>
    <w:rsid w:val="003C5E7D"/>
    <w:rsid w:val="003D34FD"/>
    <w:rsid w:val="003D5DCA"/>
    <w:rsid w:val="003E0676"/>
    <w:rsid w:val="003E0709"/>
    <w:rsid w:val="003E1845"/>
    <w:rsid w:val="003E5918"/>
    <w:rsid w:val="003E62BA"/>
    <w:rsid w:val="003E7367"/>
    <w:rsid w:val="003F1D5B"/>
    <w:rsid w:val="003F2DF4"/>
    <w:rsid w:val="003F5F8D"/>
    <w:rsid w:val="003F6C8A"/>
    <w:rsid w:val="003F6EFA"/>
    <w:rsid w:val="003F7B51"/>
    <w:rsid w:val="00401B18"/>
    <w:rsid w:val="00403E93"/>
    <w:rsid w:val="00405AD3"/>
    <w:rsid w:val="00405E39"/>
    <w:rsid w:val="004075CA"/>
    <w:rsid w:val="00410EF3"/>
    <w:rsid w:val="0041370F"/>
    <w:rsid w:val="00424778"/>
    <w:rsid w:val="00425A6C"/>
    <w:rsid w:val="00434E4C"/>
    <w:rsid w:val="00435744"/>
    <w:rsid w:val="004366D7"/>
    <w:rsid w:val="00440F14"/>
    <w:rsid w:val="0044173A"/>
    <w:rsid w:val="0045348A"/>
    <w:rsid w:val="00456FE8"/>
    <w:rsid w:val="00464813"/>
    <w:rsid w:val="00466055"/>
    <w:rsid w:val="00466198"/>
    <w:rsid w:val="00466B93"/>
    <w:rsid w:val="0047197D"/>
    <w:rsid w:val="004738D7"/>
    <w:rsid w:val="00474BA5"/>
    <w:rsid w:val="00475A6C"/>
    <w:rsid w:val="0048438C"/>
    <w:rsid w:val="004858E0"/>
    <w:rsid w:val="004864B9"/>
    <w:rsid w:val="004900DC"/>
    <w:rsid w:val="00490DBF"/>
    <w:rsid w:val="00491BE8"/>
    <w:rsid w:val="004961C3"/>
    <w:rsid w:val="004A1209"/>
    <w:rsid w:val="004A6037"/>
    <w:rsid w:val="004A7290"/>
    <w:rsid w:val="004B1045"/>
    <w:rsid w:val="004B118B"/>
    <w:rsid w:val="004B26A8"/>
    <w:rsid w:val="004B274F"/>
    <w:rsid w:val="004B2E23"/>
    <w:rsid w:val="004B5C48"/>
    <w:rsid w:val="004C05B4"/>
    <w:rsid w:val="004C19E9"/>
    <w:rsid w:val="004D0F5A"/>
    <w:rsid w:val="004D348D"/>
    <w:rsid w:val="004D3B34"/>
    <w:rsid w:val="004D5DE9"/>
    <w:rsid w:val="004D73B6"/>
    <w:rsid w:val="004D78E8"/>
    <w:rsid w:val="005026D8"/>
    <w:rsid w:val="00502D9C"/>
    <w:rsid w:val="0051105B"/>
    <w:rsid w:val="00514E8C"/>
    <w:rsid w:val="005202AA"/>
    <w:rsid w:val="00520963"/>
    <w:rsid w:val="00521A74"/>
    <w:rsid w:val="00524C89"/>
    <w:rsid w:val="005257AE"/>
    <w:rsid w:val="005271A0"/>
    <w:rsid w:val="00530824"/>
    <w:rsid w:val="00533361"/>
    <w:rsid w:val="00533BEC"/>
    <w:rsid w:val="00537AA2"/>
    <w:rsid w:val="00540D4A"/>
    <w:rsid w:val="00542ADD"/>
    <w:rsid w:val="00547D0D"/>
    <w:rsid w:val="00554210"/>
    <w:rsid w:val="00555BD5"/>
    <w:rsid w:val="005562F5"/>
    <w:rsid w:val="005563D4"/>
    <w:rsid w:val="00560871"/>
    <w:rsid w:val="005718FF"/>
    <w:rsid w:val="0057221F"/>
    <w:rsid w:val="00572A56"/>
    <w:rsid w:val="005749D3"/>
    <w:rsid w:val="00574CCD"/>
    <w:rsid w:val="00575FD2"/>
    <w:rsid w:val="0057657F"/>
    <w:rsid w:val="005770CB"/>
    <w:rsid w:val="005808EE"/>
    <w:rsid w:val="005852AC"/>
    <w:rsid w:val="0059023C"/>
    <w:rsid w:val="00594DF1"/>
    <w:rsid w:val="00594E9C"/>
    <w:rsid w:val="00595110"/>
    <w:rsid w:val="00596BD8"/>
    <w:rsid w:val="00596CF7"/>
    <w:rsid w:val="00596DE6"/>
    <w:rsid w:val="005A2B32"/>
    <w:rsid w:val="005A4E23"/>
    <w:rsid w:val="005A544B"/>
    <w:rsid w:val="005A6901"/>
    <w:rsid w:val="005B0099"/>
    <w:rsid w:val="005B55CF"/>
    <w:rsid w:val="005B629D"/>
    <w:rsid w:val="005C3B1B"/>
    <w:rsid w:val="005C4959"/>
    <w:rsid w:val="005C56F4"/>
    <w:rsid w:val="005C741A"/>
    <w:rsid w:val="005D0897"/>
    <w:rsid w:val="005D3F4A"/>
    <w:rsid w:val="005E2836"/>
    <w:rsid w:val="005E65C4"/>
    <w:rsid w:val="005E66D6"/>
    <w:rsid w:val="005F0BB1"/>
    <w:rsid w:val="005F2D6E"/>
    <w:rsid w:val="005F454B"/>
    <w:rsid w:val="005F4AA7"/>
    <w:rsid w:val="005F6FC4"/>
    <w:rsid w:val="00605574"/>
    <w:rsid w:val="00607913"/>
    <w:rsid w:val="00610243"/>
    <w:rsid w:val="0061272F"/>
    <w:rsid w:val="00614DC3"/>
    <w:rsid w:val="00616CAA"/>
    <w:rsid w:val="00617523"/>
    <w:rsid w:val="00621CB2"/>
    <w:rsid w:val="006229A6"/>
    <w:rsid w:val="00622FBB"/>
    <w:rsid w:val="00623136"/>
    <w:rsid w:val="00627EBC"/>
    <w:rsid w:val="00631395"/>
    <w:rsid w:val="00632683"/>
    <w:rsid w:val="00635E49"/>
    <w:rsid w:val="00637D28"/>
    <w:rsid w:val="00641173"/>
    <w:rsid w:val="006442B0"/>
    <w:rsid w:val="00646EB6"/>
    <w:rsid w:val="00650956"/>
    <w:rsid w:val="00650A83"/>
    <w:rsid w:val="00651702"/>
    <w:rsid w:val="00651CD3"/>
    <w:rsid w:val="0065359E"/>
    <w:rsid w:val="00656B71"/>
    <w:rsid w:val="00660E73"/>
    <w:rsid w:val="00660F48"/>
    <w:rsid w:val="00665F43"/>
    <w:rsid w:val="00676593"/>
    <w:rsid w:val="00677819"/>
    <w:rsid w:val="00677E3C"/>
    <w:rsid w:val="00680927"/>
    <w:rsid w:val="00683B19"/>
    <w:rsid w:val="00683DDD"/>
    <w:rsid w:val="00684CA8"/>
    <w:rsid w:val="00690200"/>
    <w:rsid w:val="00690926"/>
    <w:rsid w:val="006938A7"/>
    <w:rsid w:val="0069723A"/>
    <w:rsid w:val="006A6860"/>
    <w:rsid w:val="006A6C9F"/>
    <w:rsid w:val="006A6ED6"/>
    <w:rsid w:val="006B0E88"/>
    <w:rsid w:val="006B323E"/>
    <w:rsid w:val="006B7DDE"/>
    <w:rsid w:val="006C28B8"/>
    <w:rsid w:val="006C2A82"/>
    <w:rsid w:val="006C2FCA"/>
    <w:rsid w:val="006C3EF2"/>
    <w:rsid w:val="006C721B"/>
    <w:rsid w:val="006C76FB"/>
    <w:rsid w:val="006C79D4"/>
    <w:rsid w:val="006D32B9"/>
    <w:rsid w:val="006D41CE"/>
    <w:rsid w:val="006E2A6E"/>
    <w:rsid w:val="006E2F0C"/>
    <w:rsid w:val="006E66FF"/>
    <w:rsid w:val="006E6F58"/>
    <w:rsid w:val="006F06C2"/>
    <w:rsid w:val="006F5359"/>
    <w:rsid w:val="006F5AFD"/>
    <w:rsid w:val="006F68EF"/>
    <w:rsid w:val="00710478"/>
    <w:rsid w:val="00716BEA"/>
    <w:rsid w:val="0072070A"/>
    <w:rsid w:val="0072075A"/>
    <w:rsid w:val="00725B62"/>
    <w:rsid w:val="007322AC"/>
    <w:rsid w:val="007338E6"/>
    <w:rsid w:val="00736BBB"/>
    <w:rsid w:val="00737D2E"/>
    <w:rsid w:val="007405AB"/>
    <w:rsid w:val="00741032"/>
    <w:rsid w:val="0074579C"/>
    <w:rsid w:val="007516C7"/>
    <w:rsid w:val="00757150"/>
    <w:rsid w:val="00761F1A"/>
    <w:rsid w:val="0076403C"/>
    <w:rsid w:val="0076467B"/>
    <w:rsid w:val="0076629E"/>
    <w:rsid w:val="007679A0"/>
    <w:rsid w:val="00770421"/>
    <w:rsid w:val="007705EA"/>
    <w:rsid w:val="007708FD"/>
    <w:rsid w:val="0077269A"/>
    <w:rsid w:val="00775360"/>
    <w:rsid w:val="00775754"/>
    <w:rsid w:val="007817BA"/>
    <w:rsid w:val="00783CAF"/>
    <w:rsid w:val="00786D1E"/>
    <w:rsid w:val="007909DC"/>
    <w:rsid w:val="007925E9"/>
    <w:rsid w:val="00793DA6"/>
    <w:rsid w:val="00794594"/>
    <w:rsid w:val="0079575A"/>
    <w:rsid w:val="007957B3"/>
    <w:rsid w:val="00795F5D"/>
    <w:rsid w:val="007A44DA"/>
    <w:rsid w:val="007A5340"/>
    <w:rsid w:val="007B0F11"/>
    <w:rsid w:val="007B5B44"/>
    <w:rsid w:val="007B676B"/>
    <w:rsid w:val="007C54AD"/>
    <w:rsid w:val="007C5E77"/>
    <w:rsid w:val="007C6253"/>
    <w:rsid w:val="007C64AD"/>
    <w:rsid w:val="007C67EF"/>
    <w:rsid w:val="007C6886"/>
    <w:rsid w:val="007C7BC4"/>
    <w:rsid w:val="007D1920"/>
    <w:rsid w:val="007D74F9"/>
    <w:rsid w:val="007E2C80"/>
    <w:rsid w:val="007E466B"/>
    <w:rsid w:val="007F120E"/>
    <w:rsid w:val="007F1F58"/>
    <w:rsid w:val="007F5CB5"/>
    <w:rsid w:val="00811C3B"/>
    <w:rsid w:val="00817872"/>
    <w:rsid w:val="00817FCF"/>
    <w:rsid w:val="0082065F"/>
    <w:rsid w:val="008235E9"/>
    <w:rsid w:val="00824A8D"/>
    <w:rsid w:val="00824FC3"/>
    <w:rsid w:val="008257AC"/>
    <w:rsid w:val="008276CA"/>
    <w:rsid w:val="00830438"/>
    <w:rsid w:val="008309A3"/>
    <w:rsid w:val="00837248"/>
    <w:rsid w:val="0084778C"/>
    <w:rsid w:val="00850332"/>
    <w:rsid w:val="008508B4"/>
    <w:rsid w:val="00850BCA"/>
    <w:rsid w:val="008514B9"/>
    <w:rsid w:val="00852FF6"/>
    <w:rsid w:val="00854D9E"/>
    <w:rsid w:val="00857F57"/>
    <w:rsid w:val="00860A2D"/>
    <w:rsid w:val="008616B0"/>
    <w:rsid w:val="008629C7"/>
    <w:rsid w:val="0087317B"/>
    <w:rsid w:val="00880A62"/>
    <w:rsid w:val="00881B27"/>
    <w:rsid w:val="00884949"/>
    <w:rsid w:val="00885EF2"/>
    <w:rsid w:val="00890765"/>
    <w:rsid w:val="008951AE"/>
    <w:rsid w:val="00895961"/>
    <w:rsid w:val="008A0978"/>
    <w:rsid w:val="008A37BB"/>
    <w:rsid w:val="008A5A8D"/>
    <w:rsid w:val="008A5B40"/>
    <w:rsid w:val="008A65B0"/>
    <w:rsid w:val="008B1DF7"/>
    <w:rsid w:val="008B1E2E"/>
    <w:rsid w:val="008B2D7B"/>
    <w:rsid w:val="008B6B9D"/>
    <w:rsid w:val="008C0D80"/>
    <w:rsid w:val="008C0E68"/>
    <w:rsid w:val="008C57C1"/>
    <w:rsid w:val="008C6BC6"/>
    <w:rsid w:val="008D3473"/>
    <w:rsid w:val="008D3794"/>
    <w:rsid w:val="008D3FF1"/>
    <w:rsid w:val="008D6147"/>
    <w:rsid w:val="008E14E2"/>
    <w:rsid w:val="008E33D8"/>
    <w:rsid w:val="008E3CAA"/>
    <w:rsid w:val="008E5E36"/>
    <w:rsid w:val="008E5F61"/>
    <w:rsid w:val="008E6903"/>
    <w:rsid w:val="008F6EC5"/>
    <w:rsid w:val="00902603"/>
    <w:rsid w:val="00902CEC"/>
    <w:rsid w:val="0090637F"/>
    <w:rsid w:val="00907568"/>
    <w:rsid w:val="009107C9"/>
    <w:rsid w:val="00915FF0"/>
    <w:rsid w:val="00925FAC"/>
    <w:rsid w:val="009261CA"/>
    <w:rsid w:val="0093089E"/>
    <w:rsid w:val="00930CC5"/>
    <w:rsid w:val="00932190"/>
    <w:rsid w:val="0094143D"/>
    <w:rsid w:val="009444B1"/>
    <w:rsid w:val="009458B4"/>
    <w:rsid w:val="00952EA9"/>
    <w:rsid w:val="00953EA5"/>
    <w:rsid w:val="009550B2"/>
    <w:rsid w:val="00957C4B"/>
    <w:rsid w:val="009611EE"/>
    <w:rsid w:val="009637EE"/>
    <w:rsid w:val="00965635"/>
    <w:rsid w:val="00966C40"/>
    <w:rsid w:val="0096715E"/>
    <w:rsid w:val="009733DD"/>
    <w:rsid w:val="00980540"/>
    <w:rsid w:val="00980835"/>
    <w:rsid w:val="00980B12"/>
    <w:rsid w:val="00985762"/>
    <w:rsid w:val="00991C07"/>
    <w:rsid w:val="00993A90"/>
    <w:rsid w:val="00996879"/>
    <w:rsid w:val="009A11EF"/>
    <w:rsid w:val="009A4211"/>
    <w:rsid w:val="009A47E5"/>
    <w:rsid w:val="009A4F64"/>
    <w:rsid w:val="009A6C86"/>
    <w:rsid w:val="009A6F7A"/>
    <w:rsid w:val="009A6F8D"/>
    <w:rsid w:val="009B1DB1"/>
    <w:rsid w:val="009B289F"/>
    <w:rsid w:val="009B6F47"/>
    <w:rsid w:val="009B742F"/>
    <w:rsid w:val="009C3F62"/>
    <w:rsid w:val="009D0058"/>
    <w:rsid w:val="009D7319"/>
    <w:rsid w:val="009F07B0"/>
    <w:rsid w:val="009F2400"/>
    <w:rsid w:val="009F3DA4"/>
    <w:rsid w:val="009F412B"/>
    <w:rsid w:val="009F5EA5"/>
    <w:rsid w:val="00A00F9C"/>
    <w:rsid w:val="00A02FB6"/>
    <w:rsid w:val="00A054E2"/>
    <w:rsid w:val="00A12AB6"/>
    <w:rsid w:val="00A13A8C"/>
    <w:rsid w:val="00A13EC9"/>
    <w:rsid w:val="00A15CB6"/>
    <w:rsid w:val="00A20FDD"/>
    <w:rsid w:val="00A21AE2"/>
    <w:rsid w:val="00A22354"/>
    <w:rsid w:val="00A23C01"/>
    <w:rsid w:val="00A240FD"/>
    <w:rsid w:val="00A2465B"/>
    <w:rsid w:val="00A24D64"/>
    <w:rsid w:val="00A25183"/>
    <w:rsid w:val="00A2616B"/>
    <w:rsid w:val="00A31956"/>
    <w:rsid w:val="00A31DF7"/>
    <w:rsid w:val="00A31E09"/>
    <w:rsid w:val="00A33EB6"/>
    <w:rsid w:val="00A34F4C"/>
    <w:rsid w:val="00A4197A"/>
    <w:rsid w:val="00A42E54"/>
    <w:rsid w:val="00A43EFE"/>
    <w:rsid w:val="00A46D19"/>
    <w:rsid w:val="00A475C2"/>
    <w:rsid w:val="00A510CE"/>
    <w:rsid w:val="00A531F2"/>
    <w:rsid w:val="00A560F9"/>
    <w:rsid w:val="00A6143B"/>
    <w:rsid w:val="00A713AA"/>
    <w:rsid w:val="00A718D1"/>
    <w:rsid w:val="00A74E9B"/>
    <w:rsid w:val="00A74FEB"/>
    <w:rsid w:val="00A75E13"/>
    <w:rsid w:val="00A75F3D"/>
    <w:rsid w:val="00A83B63"/>
    <w:rsid w:val="00A860EA"/>
    <w:rsid w:val="00A921FC"/>
    <w:rsid w:val="00A93713"/>
    <w:rsid w:val="00AA0A9B"/>
    <w:rsid w:val="00AA1A38"/>
    <w:rsid w:val="00AA377D"/>
    <w:rsid w:val="00AA4224"/>
    <w:rsid w:val="00AA76DB"/>
    <w:rsid w:val="00AB70D1"/>
    <w:rsid w:val="00AC11B5"/>
    <w:rsid w:val="00AC58A4"/>
    <w:rsid w:val="00AD10DA"/>
    <w:rsid w:val="00AD13F0"/>
    <w:rsid w:val="00AD16F2"/>
    <w:rsid w:val="00AD3D54"/>
    <w:rsid w:val="00AD3D88"/>
    <w:rsid w:val="00AD4BB2"/>
    <w:rsid w:val="00AE05F9"/>
    <w:rsid w:val="00AE0B26"/>
    <w:rsid w:val="00AE144D"/>
    <w:rsid w:val="00AE4651"/>
    <w:rsid w:val="00AE4A67"/>
    <w:rsid w:val="00AE5C05"/>
    <w:rsid w:val="00AE5E27"/>
    <w:rsid w:val="00AF0B47"/>
    <w:rsid w:val="00AF14DC"/>
    <w:rsid w:val="00AF7639"/>
    <w:rsid w:val="00B03580"/>
    <w:rsid w:val="00B039BA"/>
    <w:rsid w:val="00B05016"/>
    <w:rsid w:val="00B057D9"/>
    <w:rsid w:val="00B101AC"/>
    <w:rsid w:val="00B24FEA"/>
    <w:rsid w:val="00B25EAC"/>
    <w:rsid w:val="00B314EE"/>
    <w:rsid w:val="00B3180E"/>
    <w:rsid w:val="00B37154"/>
    <w:rsid w:val="00B3719A"/>
    <w:rsid w:val="00B4025A"/>
    <w:rsid w:val="00B4075C"/>
    <w:rsid w:val="00B41CEE"/>
    <w:rsid w:val="00B42183"/>
    <w:rsid w:val="00B5457B"/>
    <w:rsid w:val="00B61BC4"/>
    <w:rsid w:val="00B6305C"/>
    <w:rsid w:val="00B70ADF"/>
    <w:rsid w:val="00B72942"/>
    <w:rsid w:val="00B74921"/>
    <w:rsid w:val="00B75152"/>
    <w:rsid w:val="00B77B39"/>
    <w:rsid w:val="00B84D30"/>
    <w:rsid w:val="00B90752"/>
    <w:rsid w:val="00B91A60"/>
    <w:rsid w:val="00B93765"/>
    <w:rsid w:val="00B94FC6"/>
    <w:rsid w:val="00B972FE"/>
    <w:rsid w:val="00BA2574"/>
    <w:rsid w:val="00BA2ABB"/>
    <w:rsid w:val="00BA5961"/>
    <w:rsid w:val="00BB21F9"/>
    <w:rsid w:val="00BC1B41"/>
    <w:rsid w:val="00BC1DA7"/>
    <w:rsid w:val="00BC2D04"/>
    <w:rsid w:val="00BC5DFE"/>
    <w:rsid w:val="00BD061E"/>
    <w:rsid w:val="00BD06E0"/>
    <w:rsid w:val="00BD434A"/>
    <w:rsid w:val="00BD46FB"/>
    <w:rsid w:val="00BD4F20"/>
    <w:rsid w:val="00BD58AA"/>
    <w:rsid w:val="00BE7543"/>
    <w:rsid w:val="00BF02B3"/>
    <w:rsid w:val="00BF6327"/>
    <w:rsid w:val="00C029E6"/>
    <w:rsid w:val="00C0531F"/>
    <w:rsid w:val="00C10554"/>
    <w:rsid w:val="00C12ECA"/>
    <w:rsid w:val="00C16AE4"/>
    <w:rsid w:val="00C178C2"/>
    <w:rsid w:val="00C2108A"/>
    <w:rsid w:val="00C22A74"/>
    <w:rsid w:val="00C24D6E"/>
    <w:rsid w:val="00C254A4"/>
    <w:rsid w:val="00C32DDF"/>
    <w:rsid w:val="00C3522E"/>
    <w:rsid w:val="00C40977"/>
    <w:rsid w:val="00C442F9"/>
    <w:rsid w:val="00C45F60"/>
    <w:rsid w:val="00C466DB"/>
    <w:rsid w:val="00C46A66"/>
    <w:rsid w:val="00C51A8F"/>
    <w:rsid w:val="00C53F84"/>
    <w:rsid w:val="00C56CB9"/>
    <w:rsid w:val="00C56FFC"/>
    <w:rsid w:val="00C60D7F"/>
    <w:rsid w:val="00C65ABD"/>
    <w:rsid w:val="00C71B17"/>
    <w:rsid w:val="00C730F7"/>
    <w:rsid w:val="00C807A6"/>
    <w:rsid w:val="00C81B98"/>
    <w:rsid w:val="00C81BDE"/>
    <w:rsid w:val="00C9172E"/>
    <w:rsid w:val="00C9390C"/>
    <w:rsid w:val="00C96698"/>
    <w:rsid w:val="00C96962"/>
    <w:rsid w:val="00CA0C15"/>
    <w:rsid w:val="00CA0C71"/>
    <w:rsid w:val="00CA3E2C"/>
    <w:rsid w:val="00CA41BF"/>
    <w:rsid w:val="00CB0540"/>
    <w:rsid w:val="00CB107A"/>
    <w:rsid w:val="00CB3953"/>
    <w:rsid w:val="00CC0D0D"/>
    <w:rsid w:val="00CC2532"/>
    <w:rsid w:val="00CC3118"/>
    <w:rsid w:val="00CC3F7B"/>
    <w:rsid w:val="00CC4953"/>
    <w:rsid w:val="00CE4210"/>
    <w:rsid w:val="00CE547A"/>
    <w:rsid w:val="00CE57B1"/>
    <w:rsid w:val="00CF6FA7"/>
    <w:rsid w:val="00CF756F"/>
    <w:rsid w:val="00CF7827"/>
    <w:rsid w:val="00D01E3A"/>
    <w:rsid w:val="00D04CBD"/>
    <w:rsid w:val="00D07FA9"/>
    <w:rsid w:val="00D11C6E"/>
    <w:rsid w:val="00D11F9E"/>
    <w:rsid w:val="00D11FB3"/>
    <w:rsid w:val="00D166E5"/>
    <w:rsid w:val="00D209C1"/>
    <w:rsid w:val="00D24D60"/>
    <w:rsid w:val="00D30D0B"/>
    <w:rsid w:val="00D32619"/>
    <w:rsid w:val="00D351D7"/>
    <w:rsid w:val="00D36303"/>
    <w:rsid w:val="00D36E0B"/>
    <w:rsid w:val="00D3708C"/>
    <w:rsid w:val="00D42B57"/>
    <w:rsid w:val="00D5499D"/>
    <w:rsid w:val="00D61684"/>
    <w:rsid w:val="00D64816"/>
    <w:rsid w:val="00D64D4B"/>
    <w:rsid w:val="00D66010"/>
    <w:rsid w:val="00D77AA0"/>
    <w:rsid w:val="00D81172"/>
    <w:rsid w:val="00D82E94"/>
    <w:rsid w:val="00D83B07"/>
    <w:rsid w:val="00D84F02"/>
    <w:rsid w:val="00D867A9"/>
    <w:rsid w:val="00D91E21"/>
    <w:rsid w:val="00D92943"/>
    <w:rsid w:val="00D96190"/>
    <w:rsid w:val="00DA03FC"/>
    <w:rsid w:val="00DA06F4"/>
    <w:rsid w:val="00DA07D1"/>
    <w:rsid w:val="00DA28FF"/>
    <w:rsid w:val="00DA4B1C"/>
    <w:rsid w:val="00DA5680"/>
    <w:rsid w:val="00DB121A"/>
    <w:rsid w:val="00DB4847"/>
    <w:rsid w:val="00DB49A8"/>
    <w:rsid w:val="00DC09DF"/>
    <w:rsid w:val="00DC46AA"/>
    <w:rsid w:val="00DD164E"/>
    <w:rsid w:val="00DD5EED"/>
    <w:rsid w:val="00DD69DB"/>
    <w:rsid w:val="00DD7A0B"/>
    <w:rsid w:val="00DE2D69"/>
    <w:rsid w:val="00DE3362"/>
    <w:rsid w:val="00DE5C8D"/>
    <w:rsid w:val="00DE7692"/>
    <w:rsid w:val="00DF0D2D"/>
    <w:rsid w:val="00DF3E60"/>
    <w:rsid w:val="00DF6318"/>
    <w:rsid w:val="00DF6AE5"/>
    <w:rsid w:val="00E0028A"/>
    <w:rsid w:val="00E02889"/>
    <w:rsid w:val="00E0319E"/>
    <w:rsid w:val="00E07053"/>
    <w:rsid w:val="00E10368"/>
    <w:rsid w:val="00E11D87"/>
    <w:rsid w:val="00E12A9B"/>
    <w:rsid w:val="00E15272"/>
    <w:rsid w:val="00E152A6"/>
    <w:rsid w:val="00E15752"/>
    <w:rsid w:val="00E2027E"/>
    <w:rsid w:val="00E20832"/>
    <w:rsid w:val="00E219F5"/>
    <w:rsid w:val="00E226F3"/>
    <w:rsid w:val="00E371D7"/>
    <w:rsid w:val="00E37661"/>
    <w:rsid w:val="00E44039"/>
    <w:rsid w:val="00E5058D"/>
    <w:rsid w:val="00E55EF7"/>
    <w:rsid w:val="00E57FB1"/>
    <w:rsid w:val="00E60DCA"/>
    <w:rsid w:val="00E6447D"/>
    <w:rsid w:val="00E65726"/>
    <w:rsid w:val="00E72FE5"/>
    <w:rsid w:val="00E74175"/>
    <w:rsid w:val="00E761BB"/>
    <w:rsid w:val="00E775C2"/>
    <w:rsid w:val="00E7788C"/>
    <w:rsid w:val="00E86CF7"/>
    <w:rsid w:val="00E87ACE"/>
    <w:rsid w:val="00E9306C"/>
    <w:rsid w:val="00E94AFF"/>
    <w:rsid w:val="00E966CD"/>
    <w:rsid w:val="00EA0BCE"/>
    <w:rsid w:val="00EA3CC2"/>
    <w:rsid w:val="00EA6675"/>
    <w:rsid w:val="00EB05FB"/>
    <w:rsid w:val="00EB0D20"/>
    <w:rsid w:val="00EB1993"/>
    <w:rsid w:val="00EB20BE"/>
    <w:rsid w:val="00EB27A3"/>
    <w:rsid w:val="00EB4801"/>
    <w:rsid w:val="00EB4D29"/>
    <w:rsid w:val="00EB53A8"/>
    <w:rsid w:val="00EB5B5B"/>
    <w:rsid w:val="00EB6668"/>
    <w:rsid w:val="00EC14CD"/>
    <w:rsid w:val="00EC1A9D"/>
    <w:rsid w:val="00EC1DC6"/>
    <w:rsid w:val="00ED027A"/>
    <w:rsid w:val="00ED1FAD"/>
    <w:rsid w:val="00ED5E53"/>
    <w:rsid w:val="00ED62DD"/>
    <w:rsid w:val="00ED639E"/>
    <w:rsid w:val="00ED69A6"/>
    <w:rsid w:val="00ED7DB5"/>
    <w:rsid w:val="00EE1E56"/>
    <w:rsid w:val="00EE65FA"/>
    <w:rsid w:val="00EE6CF0"/>
    <w:rsid w:val="00EF0A96"/>
    <w:rsid w:val="00EF2880"/>
    <w:rsid w:val="00EF2A3B"/>
    <w:rsid w:val="00EF5C82"/>
    <w:rsid w:val="00EF7118"/>
    <w:rsid w:val="00F045B3"/>
    <w:rsid w:val="00F06A00"/>
    <w:rsid w:val="00F114EA"/>
    <w:rsid w:val="00F170B0"/>
    <w:rsid w:val="00F205F2"/>
    <w:rsid w:val="00F233F4"/>
    <w:rsid w:val="00F26275"/>
    <w:rsid w:val="00F2672C"/>
    <w:rsid w:val="00F310DD"/>
    <w:rsid w:val="00F4275B"/>
    <w:rsid w:val="00F42B33"/>
    <w:rsid w:val="00F45518"/>
    <w:rsid w:val="00F46335"/>
    <w:rsid w:val="00F4756D"/>
    <w:rsid w:val="00F51529"/>
    <w:rsid w:val="00F51DB1"/>
    <w:rsid w:val="00F524B8"/>
    <w:rsid w:val="00F53834"/>
    <w:rsid w:val="00F53A67"/>
    <w:rsid w:val="00F6212F"/>
    <w:rsid w:val="00F625A1"/>
    <w:rsid w:val="00F6333B"/>
    <w:rsid w:val="00F63A58"/>
    <w:rsid w:val="00F71438"/>
    <w:rsid w:val="00F71E55"/>
    <w:rsid w:val="00F74347"/>
    <w:rsid w:val="00F74682"/>
    <w:rsid w:val="00F771E1"/>
    <w:rsid w:val="00F772EE"/>
    <w:rsid w:val="00F77499"/>
    <w:rsid w:val="00F77647"/>
    <w:rsid w:val="00F806B3"/>
    <w:rsid w:val="00F831B5"/>
    <w:rsid w:val="00F837D6"/>
    <w:rsid w:val="00F905A6"/>
    <w:rsid w:val="00F9074D"/>
    <w:rsid w:val="00F916E4"/>
    <w:rsid w:val="00F91747"/>
    <w:rsid w:val="00F9341E"/>
    <w:rsid w:val="00F940B9"/>
    <w:rsid w:val="00F96232"/>
    <w:rsid w:val="00FB1262"/>
    <w:rsid w:val="00FB1326"/>
    <w:rsid w:val="00FB15B6"/>
    <w:rsid w:val="00FB7EB9"/>
    <w:rsid w:val="00FC59E0"/>
    <w:rsid w:val="00FD26C5"/>
    <w:rsid w:val="00FD3FBD"/>
    <w:rsid w:val="00FD47BA"/>
    <w:rsid w:val="00FD5B46"/>
    <w:rsid w:val="00FD75D8"/>
    <w:rsid w:val="00FF2AA4"/>
    <w:rsid w:val="00FF2BA1"/>
    <w:rsid w:val="09470E7D"/>
    <w:rsid w:val="0AD44275"/>
    <w:rsid w:val="0B915BF1"/>
    <w:rsid w:val="0BD13963"/>
    <w:rsid w:val="0C1885C9"/>
    <w:rsid w:val="0DBCE3A9"/>
    <w:rsid w:val="0F87115E"/>
    <w:rsid w:val="11F24173"/>
    <w:rsid w:val="132875CB"/>
    <w:rsid w:val="170852DF"/>
    <w:rsid w:val="1778265F"/>
    <w:rsid w:val="18738B2A"/>
    <w:rsid w:val="18C4DC36"/>
    <w:rsid w:val="1A4CD454"/>
    <w:rsid w:val="1B9B3B67"/>
    <w:rsid w:val="1B9E68AB"/>
    <w:rsid w:val="1BD4211E"/>
    <w:rsid w:val="1BE04BDD"/>
    <w:rsid w:val="1E358CFD"/>
    <w:rsid w:val="21762AF0"/>
    <w:rsid w:val="24B9626D"/>
    <w:rsid w:val="25ABF644"/>
    <w:rsid w:val="2902F692"/>
    <w:rsid w:val="2AD391B9"/>
    <w:rsid w:val="2AE60958"/>
    <w:rsid w:val="31C10CEB"/>
    <w:rsid w:val="33037303"/>
    <w:rsid w:val="39670AD8"/>
    <w:rsid w:val="3A6B7211"/>
    <w:rsid w:val="3AF283A1"/>
    <w:rsid w:val="3C91FEF4"/>
    <w:rsid w:val="3CA5CC56"/>
    <w:rsid w:val="3DF6879C"/>
    <w:rsid w:val="3F31ACD8"/>
    <w:rsid w:val="3F9B0391"/>
    <w:rsid w:val="3FBF62B3"/>
    <w:rsid w:val="42908EAE"/>
    <w:rsid w:val="445E2EBF"/>
    <w:rsid w:val="45C12B7C"/>
    <w:rsid w:val="49B4EA33"/>
    <w:rsid w:val="4A6408DB"/>
    <w:rsid w:val="4C91F063"/>
    <w:rsid w:val="4D939C0B"/>
    <w:rsid w:val="5154C37D"/>
    <w:rsid w:val="51932926"/>
    <w:rsid w:val="5217B932"/>
    <w:rsid w:val="5357014D"/>
    <w:rsid w:val="53C8C3F8"/>
    <w:rsid w:val="5409AE86"/>
    <w:rsid w:val="549AC4E8"/>
    <w:rsid w:val="55006661"/>
    <w:rsid w:val="56A2951F"/>
    <w:rsid w:val="584EB17A"/>
    <w:rsid w:val="58D4FFF6"/>
    <w:rsid w:val="5C260046"/>
    <w:rsid w:val="5C8DF07E"/>
    <w:rsid w:val="5D408468"/>
    <w:rsid w:val="5DF9017D"/>
    <w:rsid w:val="5E48DC44"/>
    <w:rsid w:val="619DBC78"/>
    <w:rsid w:val="63722B07"/>
    <w:rsid w:val="644F5A59"/>
    <w:rsid w:val="648A06A6"/>
    <w:rsid w:val="663FFE47"/>
    <w:rsid w:val="681CA9CD"/>
    <w:rsid w:val="68712FF3"/>
    <w:rsid w:val="695845FC"/>
    <w:rsid w:val="6B9585A5"/>
    <w:rsid w:val="71170A1F"/>
    <w:rsid w:val="71BC7DDD"/>
    <w:rsid w:val="722730F9"/>
    <w:rsid w:val="7251EF93"/>
    <w:rsid w:val="72C56133"/>
    <w:rsid w:val="74A7F5AD"/>
    <w:rsid w:val="75DCFAB9"/>
    <w:rsid w:val="76140EAF"/>
    <w:rsid w:val="76B3771F"/>
    <w:rsid w:val="77103C96"/>
    <w:rsid w:val="775510BD"/>
    <w:rsid w:val="778A3E27"/>
    <w:rsid w:val="789B7477"/>
    <w:rsid w:val="7987A34E"/>
    <w:rsid w:val="7A92C89F"/>
    <w:rsid w:val="7C9BE0E2"/>
    <w:rsid w:val="7EE970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9E737"/>
  <w15:chartTrackingRefBased/>
  <w15:docId w15:val="{9F97B4D5-E14D-4375-8245-95764ABBD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A6C"/>
  </w:style>
  <w:style w:type="paragraph" w:styleId="Heading1">
    <w:name w:val="heading 1"/>
    <w:basedOn w:val="Normal"/>
    <w:next w:val="Normal"/>
    <w:link w:val="Heading1Char"/>
    <w:uiPriority w:val="9"/>
    <w:qFormat/>
    <w:rsid w:val="00425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1395"/>
    <w:pPr>
      <w:keepNext/>
      <w:keepLines/>
      <w:spacing w:before="160" w:after="80"/>
      <w:outlineLvl w:val="1"/>
    </w:pPr>
    <w:rPr>
      <w:rFonts w:ascii="Calibri" w:eastAsiaTheme="majorEastAsia" w:hAnsi="Calibri" w:cstheme="majorBidi"/>
      <w:b/>
      <w:color w:val="0070C0"/>
      <w:sz w:val="28"/>
      <w:szCs w:val="32"/>
    </w:rPr>
  </w:style>
  <w:style w:type="paragraph" w:styleId="Heading3">
    <w:name w:val="heading 3"/>
    <w:basedOn w:val="Normal"/>
    <w:next w:val="Normal"/>
    <w:link w:val="Heading3Char"/>
    <w:uiPriority w:val="9"/>
    <w:unhideWhenUsed/>
    <w:qFormat/>
    <w:rsid w:val="00631395"/>
    <w:pPr>
      <w:keepNext/>
      <w:keepLines/>
      <w:spacing w:before="160" w:after="80"/>
      <w:outlineLvl w:val="2"/>
    </w:pPr>
    <w:rPr>
      <w:rFonts w:ascii="Calibri" w:eastAsiaTheme="majorEastAsia" w:hAnsi="Calibri" w:cstheme="majorBidi"/>
      <w:b/>
      <w:color w:val="000000" w:themeColor="text1"/>
      <w:szCs w:val="28"/>
      <w:u w:val="single"/>
    </w:rPr>
  </w:style>
  <w:style w:type="paragraph" w:styleId="Heading4">
    <w:name w:val="heading 4"/>
    <w:basedOn w:val="Normal"/>
    <w:next w:val="Normal"/>
    <w:link w:val="Heading4Char"/>
    <w:uiPriority w:val="9"/>
    <w:semiHidden/>
    <w:unhideWhenUsed/>
    <w:qFormat/>
    <w:rsid w:val="00425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1395"/>
    <w:rPr>
      <w:rFonts w:ascii="Calibri" w:eastAsiaTheme="majorEastAsia" w:hAnsi="Calibri" w:cstheme="majorBidi"/>
      <w:b/>
      <w:color w:val="0070C0"/>
      <w:sz w:val="28"/>
      <w:szCs w:val="32"/>
    </w:rPr>
  </w:style>
  <w:style w:type="character" w:customStyle="1" w:styleId="Heading3Char">
    <w:name w:val="Heading 3 Char"/>
    <w:basedOn w:val="DefaultParagraphFont"/>
    <w:link w:val="Heading3"/>
    <w:uiPriority w:val="9"/>
    <w:rsid w:val="00631395"/>
    <w:rPr>
      <w:rFonts w:ascii="Calibri" w:eastAsiaTheme="majorEastAsia" w:hAnsi="Calibri" w:cstheme="majorBidi"/>
      <w:b/>
      <w:color w:val="000000" w:themeColor="text1"/>
      <w:szCs w:val="28"/>
      <w:u w:val="single"/>
    </w:rPr>
  </w:style>
  <w:style w:type="character" w:customStyle="1" w:styleId="Heading4Char">
    <w:name w:val="Heading 4 Char"/>
    <w:basedOn w:val="DefaultParagraphFont"/>
    <w:link w:val="Heading4"/>
    <w:uiPriority w:val="9"/>
    <w:semiHidden/>
    <w:rsid w:val="00425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A6C"/>
    <w:rPr>
      <w:rFonts w:eastAsiaTheme="majorEastAsia" w:cstheme="majorBidi"/>
      <w:color w:val="272727" w:themeColor="text1" w:themeTint="D8"/>
    </w:rPr>
  </w:style>
  <w:style w:type="paragraph" w:styleId="Title">
    <w:name w:val="Title"/>
    <w:basedOn w:val="Normal"/>
    <w:next w:val="Normal"/>
    <w:link w:val="TitleChar"/>
    <w:uiPriority w:val="10"/>
    <w:qFormat/>
    <w:rsid w:val="00425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A6C"/>
    <w:pPr>
      <w:spacing w:before="160"/>
      <w:jc w:val="center"/>
    </w:pPr>
    <w:rPr>
      <w:i/>
      <w:iCs/>
      <w:color w:val="404040" w:themeColor="text1" w:themeTint="BF"/>
    </w:rPr>
  </w:style>
  <w:style w:type="character" w:customStyle="1" w:styleId="QuoteChar">
    <w:name w:val="Quote Char"/>
    <w:basedOn w:val="DefaultParagraphFont"/>
    <w:link w:val="Quote"/>
    <w:uiPriority w:val="29"/>
    <w:rsid w:val="00425A6C"/>
    <w:rPr>
      <w:i/>
      <w:iCs/>
      <w:color w:val="404040" w:themeColor="text1" w:themeTint="BF"/>
    </w:rPr>
  </w:style>
  <w:style w:type="paragraph" w:styleId="ListParagraph">
    <w:name w:val="List Paragraph"/>
    <w:basedOn w:val="Normal"/>
    <w:uiPriority w:val="34"/>
    <w:qFormat/>
    <w:rsid w:val="00425A6C"/>
    <w:pPr>
      <w:ind w:left="720"/>
      <w:contextualSpacing/>
    </w:pPr>
  </w:style>
  <w:style w:type="character" w:styleId="IntenseEmphasis">
    <w:name w:val="Intense Emphasis"/>
    <w:basedOn w:val="DefaultParagraphFont"/>
    <w:uiPriority w:val="21"/>
    <w:qFormat/>
    <w:rsid w:val="00425A6C"/>
    <w:rPr>
      <w:i/>
      <w:iCs/>
      <w:color w:val="0F4761" w:themeColor="accent1" w:themeShade="BF"/>
    </w:rPr>
  </w:style>
  <w:style w:type="paragraph" w:styleId="IntenseQuote">
    <w:name w:val="Intense Quote"/>
    <w:basedOn w:val="Normal"/>
    <w:next w:val="Normal"/>
    <w:link w:val="IntenseQuoteChar"/>
    <w:uiPriority w:val="30"/>
    <w:qFormat/>
    <w:rsid w:val="00425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A6C"/>
    <w:rPr>
      <w:i/>
      <w:iCs/>
      <w:color w:val="0F4761" w:themeColor="accent1" w:themeShade="BF"/>
    </w:rPr>
  </w:style>
  <w:style w:type="character" w:styleId="IntenseReference">
    <w:name w:val="Intense Reference"/>
    <w:basedOn w:val="DefaultParagraphFont"/>
    <w:uiPriority w:val="32"/>
    <w:qFormat/>
    <w:rsid w:val="00425A6C"/>
    <w:rPr>
      <w:b/>
      <w:bCs/>
      <w:smallCaps/>
      <w:color w:val="0F4761" w:themeColor="accent1" w:themeShade="BF"/>
      <w:spacing w:val="5"/>
    </w:rPr>
  </w:style>
  <w:style w:type="character" w:styleId="Hyperlink">
    <w:name w:val="Hyperlink"/>
    <w:basedOn w:val="DefaultParagraphFont"/>
    <w:uiPriority w:val="99"/>
    <w:unhideWhenUsed/>
    <w:rsid w:val="00425A6C"/>
    <w:rPr>
      <w:color w:val="467886" w:themeColor="hyperlink"/>
      <w:u w:val="single"/>
    </w:rPr>
  </w:style>
  <w:style w:type="character" w:styleId="CommentReference">
    <w:name w:val="annotation reference"/>
    <w:basedOn w:val="DefaultParagraphFont"/>
    <w:uiPriority w:val="99"/>
    <w:semiHidden/>
    <w:unhideWhenUsed/>
    <w:rsid w:val="004D3B34"/>
    <w:rPr>
      <w:sz w:val="16"/>
      <w:szCs w:val="16"/>
    </w:rPr>
  </w:style>
  <w:style w:type="paragraph" w:styleId="CommentText">
    <w:name w:val="annotation text"/>
    <w:basedOn w:val="Normal"/>
    <w:link w:val="CommentTextChar"/>
    <w:uiPriority w:val="99"/>
    <w:unhideWhenUsed/>
    <w:rsid w:val="004D3B34"/>
    <w:pPr>
      <w:spacing w:line="240" w:lineRule="auto"/>
    </w:pPr>
    <w:rPr>
      <w:sz w:val="20"/>
      <w:szCs w:val="20"/>
    </w:rPr>
  </w:style>
  <w:style w:type="character" w:customStyle="1" w:styleId="CommentTextChar">
    <w:name w:val="Comment Text Char"/>
    <w:basedOn w:val="DefaultParagraphFont"/>
    <w:link w:val="CommentText"/>
    <w:uiPriority w:val="99"/>
    <w:rsid w:val="004D3B34"/>
    <w:rPr>
      <w:sz w:val="20"/>
      <w:szCs w:val="20"/>
    </w:rPr>
  </w:style>
  <w:style w:type="paragraph" w:styleId="CommentSubject">
    <w:name w:val="annotation subject"/>
    <w:basedOn w:val="CommentText"/>
    <w:next w:val="CommentText"/>
    <w:link w:val="CommentSubjectChar"/>
    <w:uiPriority w:val="99"/>
    <w:semiHidden/>
    <w:unhideWhenUsed/>
    <w:rsid w:val="004D3B34"/>
    <w:rPr>
      <w:b/>
      <w:bCs/>
    </w:rPr>
  </w:style>
  <w:style w:type="character" w:customStyle="1" w:styleId="CommentSubjectChar">
    <w:name w:val="Comment Subject Char"/>
    <w:basedOn w:val="CommentTextChar"/>
    <w:link w:val="CommentSubject"/>
    <w:uiPriority w:val="99"/>
    <w:semiHidden/>
    <w:rsid w:val="004D3B34"/>
    <w:rPr>
      <w:b/>
      <w:bCs/>
      <w:sz w:val="20"/>
      <w:szCs w:val="20"/>
    </w:rPr>
  </w:style>
  <w:style w:type="character" w:styleId="UnresolvedMention">
    <w:name w:val="Unresolved Mention"/>
    <w:basedOn w:val="DefaultParagraphFont"/>
    <w:uiPriority w:val="99"/>
    <w:semiHidden/>
    <w:unhideWhenUsed/>
    <w:rsid w:val="00F940B9"/>
    <w:rPr>
      <w:color w:val="605E5C"/>
      <w:shd w:val="clear" w:color="auto" w:fill="E1DFDD"/>
    </w:rPr>
  </w:style>
  <w:style w:type="paragraph" w:styleId="Header">
    <w:name w:val="header"/>
    <w:basedOn w:val="Normal"/>
    <w:link w:val="HeaderChar"/>
    <w:uiPriority w:val="99"/>
    <w:unhideWhenUsed/>
    <w:rsid w:val="00AF14DC"/>
    <w:pPr>
      <w:tabs>
        <w:tab w:val="center" w:pos="4680"/>
        <w:tab w:val="right" w:pos="9360"/>
      </w:tabs>
      <w:spacing w:after="0" w:line="240" w:lineRule="auto"/>
    </w:pPr>
    <w:rPr>
      <w:sz w:val="22"/>
      <w:szCs w:val="22"/>
    </w:rPr>
  </w:style>
  <w:style w:type="character" w:customStyle="1" w:styleId="HeaderChar">
    <w:name w:val="Header Char"/>
    <w:basedOn w:val="DefaultParagraphFont"/>
    <w:link w:val="Header"/>
    <w:uiPriority w:val="99"/>
    <w:rsid w:val="00AF14DC"/>
    <w:rPr>
      <w:sz w:val="22"/>
      <w:szCs w:val="22"/>
    </w:rPr>
  </w:style>
  <w:style w:type="paragraph" w:styleId="FootnoteText">
    <w:name w:val="footnote text"/>
    <w:basedOn w:val="Normal"/>
    <w:link w:val="FootnoteTextChar"/>
    <w:uiPriority w:val="99"/>
    <w:unhideWhenUsed/>
    <w:rsid w:val="009A6F7A"/>
    <w:pPr>
      <w:spacing w:after="0" w:line="240" w:lineRule="auto"/>
    </w:pPr>
    <w:rPr>
      <w:sz w:val="20"/>
      <w:szCs w:val="20"/>
    </w:rPr>
  </w:style>
  <w:style w:type="character" w:customStyle="1" w:styleId="FootnoteTextChar">
    <w:name w:val="Footnote Text Char"/>
    <w:basedOn w:val="DefaultParagraphFont"/>
    <w:link w:val="FootnoteText"/>
    <w:uiPriority w:val="99"/>
    <w:rsid w:val="009A6F7A"/>
    <w:rPr>
      <w:sz w:val="20"/>
      <w:szCs w:val="20"/>
    </w:rPr>
  </w:style>
  <w:style w:type="character" w:styleId="FootnoteReference">
    <w:name w:val="footnote reference"/>
    <w:basedOn w:val="DefaultParagraphFont"/>
    <w:uiPriority w:val="99"/>
    <w:semiHidden/>
    <w:unhideWhenUsed/>
    <w:rsid w:val="009A6F7A"/>
    <w:rPr>
      <w:vertAlign w:val="superscript"/>
    </w:rPr>
  </w:style>
  <w:style w:type="paragraph" w:styleId="Footer">
    <w:name w:val="footer"/>
    <w:basedOn w:val="Normal"/>
    <w:link w:val="FooterChar"/>
    <w:uiPriority w:val="99"/>
    <w:unhideWhenUsed/>
    <w:rsid w:val="003D5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DCA"/>
  </w:style>
  <w:style w:type="paragraph" w:styleId="TOCHeading">
    <w:name w:val="TOC Heading"/>
    <w:basedOn w:val="Heading1"/>
    <w:next w:val="Normal"/>
    <w:uiPriority w:val="39"/>
    <w:unhideWhenUsed/>
    <w:qFormat/>
    <w:rsid w:val="00925FA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5FAC"/>
    <w:pPr>
      <w:spacing w:after="100"/>
    </w:pPr>
  </w:style>
  <w:style w:type="paragraph" w:styleId="TOC2">
    <w:name w:val="toc 2"/>
    <w:basedOn w:val="Normal"/>
    <w:next w:val="Normal"/>
    <w:autoRedefine/>
    <w:uiPriority w:val="39"/>
    <w:unhideWhenUsed/>
    <w:rsid w:val="00AC58A4"/>
    <w:pPr>
      <w:tabs>
        <w:tab w:val="right" w:leader="dot" w:pos="9350"/>
      </w:tabs>
      <w:spacing w:after="100"/>
      <w:ind w:left="240"/>
    </w:pPr>
    <w:rPr>
      <w:rFonts w:ascii="Calibri" w:hAnsi="Calibri" w:cs="Calibri"/>
      <w:b/>
      <w:bCs/>
      <w:noProof/>
      <w:sz w:val="22"/>
      <w:szCs w:val="22"/>
    </w:rPr>
  </w:style>
  <w:style w:type="paragraph" w:styleId="TOC3">
    <w:name w:val="toc 3"/>
    <w:basedOn w:val="Normal"/>
    <w:next w:val="Normal"/>
    <w:autoRedefine/>
    <w:uiPriority w:val="39"/>
    <w:unhideWhenUsed/>
    <w:rsid w:val="00925FAC"/>
    <w:pPr>
      <w:spacing w:after="100"/>
      <w:ind w:left="480"/>
    </w:pPr>
  </w:style>
  <w:style w:type="paragraph" w:styleId="Revision">
    <w:name w:val="Revision"/>
    <w:hidden/>
    <w:uiPriority w:val="99"/>
    <w:semiHidden/>
    <w:rsid w:val="00737D2E"/>
    <w:pPr>
      <w:spacing w:after="0" w:line="240" w:lineRule="auto"/>
    </w:pPr>
  </w:style>
  <w:style w:type="character" w:styleId="FollowedHyperlink">
    <w:name w:val="FollowedHyperlink"/>
    <w:basedOn w:val="DefaultParagraphFont"/>
    <w:uiPriority w:val="99"/>
    <w:semiHidden/>
    <w:unhideWhenUsed/>
    <w:rsid w:val="00627EBC"/>
    <w:rPr>
      <w:color w:val="96607D" w:themeColor="followedHyperlink"/>
      <w:u w:val="single"/>
    </w:rPr>
  </w:style>
  <w:style w:type="table" w:styleId="TableGrid">
    <w:name w:val="Table Grid"/>
    <w:basedOn w:val="TableNormal"/>
    <w:uiPriority w:val="39"/>
    <w:rsid w:val="00A24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B732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894">
      <w:bodyDiv w:val="1"/>
      <w:marLeft w:val="0"/>
      <w:marRight w:val="0"/>
      <w:marTop w:val="0"/>
      <w:marBottom w:val="0"/>
      <w:divBdr>
        <w:top w:val="none" w:sz="0" w:space="0" w:color="auto"/>
        <w:left w:val="none" w:sz="0" w:space="0" w:color="auto"/>
        <w:bottom w:val="none" w:sz="0" w:space="0" w:color="auto"/>
        <w:right w:val="none" w:sz="0" w:space="0" w:color="auto"/>
      </w:divBdr>
    </w:div>
    <w:div w:id="29695684">
      <w:bodyDiv w:val="1"/>
      <w:marLeft w:val="0"/>
      <w:marRight w:val="0"/>
      <w:marTop w:val="0"/>
      <w:marBottom w:val="0"/>
      <w:divBdr>
        <w:top w:val="none" w:sz="0" w:space="0" w:color="auto"/>
        <w:left w:val="none" w:sz="0" w:space="0" w:color="auto"/>
        <w:bottom w:val="none" w:sz="0" w:space="0" w:color="auto"/>
        <w:right w:val="none" w:sz="0" w:space="0" w:color="auto"/>
      </w:divBdr>
    </w:div>
    <w:div w:id="33579682">
      <w:bodyDiv w:val="1"/>
      <w:marLeft w:val="0"/>
      <w:marRight w:val="0"/>
      <w:marTop w:val="0"/>
      <w:marBottom w:val="0"/>
      <w:divBdr>
        <w:top w:val="none" w:sz="0" w:space="0" w:color="auto"/>
        <w:left w:val="none" w:sz="0" w:space="0" w:color="auto"/>
        <w:bottom w:val="none" w:sz="0" w:space="0" w:color="auto"/>
        <w:right w:val="none" w:sz="0" w:space="0" w:color="auto"/>
      </w:divBdr>
    </w:div>
    <w:div w:id="64110629">
      <w:bodyDiv w:val="1"/>
      <w:marLeft w:val="0"/>
      <w:marRight w:val="0"/>
      <w:marTop w:val="0"/>
      <w:marBottom w:val="0"/>
      <w:divBdr>
        <w:top w:val="none" w:sz="0" w:space="0" w:color="auto"/>
        <w:left w:val="none" w:sz="0" w:space="0" w:color="auto"/>
        <w:bottom w:val="none" w:sz="0" w:space="0" w:color="auto"/>
        <w:right w:val="none" w:sz="0" w:space="0" w:color="auto"/>
      </w:divBdr>
    </w:div>
    <w:div w:id="65879237">
      <w:bodyDiv w:val="1"/>
      <w:marLeft w:val="0"/>
      <w:marRight w:val="0"/>
      <w:marTop w:val="0"/>
      <w:marBottom w:val="0"/>
      <w:divBdr>
        <w:top w:val="none" w:sz="0" w:space="0" w:color="auto"/>
        <w:left w:val="none" w:sz="0" w:space="0" w:color="auto"/>
        <w:bottom w:val="none" w:sz="0" w:space="0" w:color="auto"/>
        <w:right w:val="none" w:sz="0" w:space="0" w:color="auto"/>
      </w:divBdr>
    </w:div>
    <w:div w:id="100801181">
      <w:bodyDiv w:val="1"/>
      <w:marLeft w:val="0"/>
      <w:marRight w:val="0"/>
      <w:marTop w:val="0"/>
      <w:marBottom w:val="0"/>
      <w:divBdr>
        <w:top w:val="none" w:sz="0" w:space="0" w:color="auto"/>
        <w:left w:val="none" w:sz="0" w:space="0" w:color="auto"/>
        <w:bottom w:val="none" w:sz="0" w:space="0" w:color="auto"/>
        <w:right w:val="none" w:sz="0" w:space="0" w:color="auto"/>
      </w:divBdr>
    </w:div>
    <w:div w:id="108859678">
      <w:bodyDiv w:val="1"/>
      <w:marLeft w:val="0"/>
      <w:marRight w:val="0"/>
      <w:marTop w:val="0"/>
      <w:marBottom w:val="0"/>
      <w:divBdr>
        <w:top w:val="none" w:sz="0" w:space="0" w:color="auto"/>
        <w:left w:val="none" w:sz="0" w:space="0" w:color="auto"/>
        <w:bottom w:val="none" w:sz="0" w:space="0" w:color="auto"/>
        <w:right w:val="none" w:sz="0" w:space="0" w:color="auto"/>
      </w:divBdr>
    </w:div>
    <w:div w:id="112092042">
      <w:bodyDiv w:val="1"/>
      <w:marLeft w:val="0"/>
      <w:marRight w:val="0"/>
      <w:marTop w:val="0"/>
      <w:marBottom w:val="0"/>
      <w:divBdr>
        <w:top w:val="none" w:sz="0" w:space="0" w:color="auto"/>
        <w:left w:val="none" w:sz="0" w:space="0" w:color="auto"/>
        <w:bottom w:val="none" w:sz="0" w:space="0" w:color="auto"/>
        <w:right w:val="none" w:sz="0" w:space="0" w:color="auto"/>
      </w:divBdr>
    </w:div>
    <w:div w:id="132909513">
      <w:bodyDiv w:val="1"/>
      <w:marLeft w:val="0"/>
      <w:marRight w:val="0"/>
      <w:marTop w:val="0"/>
      <w:marBottom w:val="0"/>
      <w:divBdr>
        <w:top w:val="none" w:sz="0" w:space="0" w:color="auto"/>
        <w:left w:val="none" w:sz="0" w:space="0" w:color="auto"/>
        <w:bottom w:val="none" w:sz="0" w:space="0" w:color="auto"/>
        <w:right w:val="none" w:sz="0" w:space="0" w:color="auto"/>
      </w:divBdr>
    </w:div>
    <w:div w:id="176388887">
      <w:bodyDiv w:val="1"/>
      <w:marLeft w:val="0"/>
      <w:marRight w:val="0"/>
      <w:marTop w:val="0"/>
      <w:marBottom w:val="0"/>
      <w:divBdr>
        <w:top w:val="none" w:sz="0" w:space="0" w:color="auto"/>
        <w:left w:val="none" w:sz="0" w:space="0" w:color="auto"/>
        <w:bottom w:val="none" w:sz="0" w:space="0" w:color="auto"/>
        <w:right w:val="none" w:sz="0" w:space="0" w:color="auto"/>
      </w:divBdr>
    </w:div>
    <w:div w:id="191306207">
      <w:bodyDiv w:val="1"/>
      <w:marLeft w:val="0"/>
      <w:marRight w:val="0"/>
      <w:marTop w:val="0"/>
      <w:marBottom w:val="0"/>
      <w:divBdr>
        <w:top w:val="none" w:sz="0" w:space="0" w:color="auto"/>
        <w:left w:val="none" w:sz="0" w:space="0" w:color="auto"/>
        <w:bottom w:val="none" w:sz="0" w:space="0" w:color="auto"/>
        <w:right w:val="none" w:sz="0" w:space="0" w:color="auto"/>
      </w:divBdr>
      <w:divsChild>
        <w:div w:id="92314895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233705608">
      <w:bodyDiv w:val="1"/>
      <w:marLeft w:val="0"/>
      <w:marRight w:val="0"/>
      <w:marTop w:val="0"/>
      <w:marBottom w:val="0"/>
      <w:divBdr>
        <w:top w:val="none" w:sz="0" w:space="0" w:color="auto"/>
        <w:left w:val="none" w:sz="0" w:space="0" w:color="auto"/>
        <w:bottom w:val="none" w:sz="0" w:space="0" w:color="auto"/>
        <w:right w:val="none" w:sz="0" w:space="0" w:color="auto"/>
      </w:divBdr>
    </w:div>
    <w:div w:id="331034782">
      <w:bodyDiv w:val="1"/>
      <w:marLeft w:val="0"/>
      <w:marRight w:val="0"/>
      <w:marTop w:val="0"/>
      <w:marBottom w:val="0"/>
      <w:divBdr>
        <w:top w:val="none" w:sz="0" w:space="0" w:color="auto"/>
        <w:left w:val="none" w:sz="0" w:space="0" w:color="auto"/>
        <w:bottom w:val="none" w:sz="0" w:space="0" w:color="auto"/>
        <w:right w:val="none" w:sz="0" w:space="0" w:color="auto"/>
      </w:divBdr>
    </w:div>
    <w:div w:id="384528656">
      <w:bodyDiv w:val="1"/>
      <w:marLeft w:val="0"/>
      <w:marRight w:val="0"/>
      <w:marTop w:val="0"/>
      <w:marBottom w:val="0"/>
      <w:divBdr>
        <w:top w:val="none" w:sz="0" w:space="0" w:color="auto"/>
        <w:left w:val="none" w:sz="0" w:space="0" w:color="auto"/>
        <w:bottom w:val="none" w:sz="0" w:space="0" w:color="auto"/>
        <w:right w:val="none" w:sz="0" w:space="0" w:color="auto"/>
      </w:divBdr>
      <w:divsChild>
        <w:div w:id="1391149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191016">
      <w:bodyDiv w:val="1"/>
      <w:marLeft w:val="0"/>
      <w:marRight w:val="0"/>
      <w:marTop w:val="0"/>
      <w:marBottom w:val="0"/>
      <w:divBdr>
        <w:top w:val="none" w:sz="0" w:space="0" w:color="auto"/>
        <w:left w:val="none" w:sz="0" w:space="0" w:color="auto"/>
        <w:bottom w:val="none" w:sz="0" w:space="0" w:color="auto"/>
        <w:right w:val="none" w:sz="0" w:space="0" w:color="auto"/>
      </w:divBdr>
    </w:div>
    <w:div w:id="437066975">
      <w:bodyDiv w:val="1"/>
      <w:marLeft w:val="0"/>
      <w:marRight w:val="0"/>
      <w:marTop w:val="0"/>
      <w:marBottom w:val="0"/>
      <w:divBdr>
        <w:top w:val="none" w:sz="0" w:space="0" w:color="auto"/>
        <w:left w:val="none" w:sz="0" w:space="0" w:color="auto"/>
        <w:bottom w:val="none" w:sz="0" w:space="0" w:color="auto"/>
        <w:right w:val="none" w:sz="0" w:space="0" w:color="auto"/>
      </w:divBdr>
    </w:div>
    <w:div w:id="479885707">
      <w:bodyDiv w:val="1"/>
      <w:marLeft w:val="0"/>
      <w:marRight w:val="0"/>
      <w:marTop w:val="0"/>
      <w:marBottom w:val="0"/>
      <w:divBdr>
        <w:top w:val="none" w:sz="0" w:space="0" w:color="auto"/>
        <w:left w:val="none" w:sz="0" w:space="0" w:color="auto"/>
        <w:bottom w:val="none" w:sz="0" w:space="0" w:color="auto"/>
        <w:right w:val="none" w:sz="0" w:space="0" w:color="auto"/>
      </w:divBdr>
    </w:div>
    <w:div w:id="543828884">
      <w:bodyDiv w:val="1"/>
      <w:marLeft w:val="0"/>
      <w:marRight w:val="0"/>
      <w:marTop w:val="0"/>
      <w:marBottom w:val="0"/>
      <w:divBdr>
        <w:top w:val="none" w:sz="0" w:space="0" w:color="auto"/>
        <w:left w:val="none" w:sz="0" w:space="0" w:color="auto"/>
        <w:bottom w:val="none" w:sz="0" w:space="0" w:color="auto"/>
        <w:right w:val="none" w:sz="0" w:space="0" w:color="auto"/>
      </w:divBdr>
    </w:div>
    <w:div w:id="555554396">
      <w:bodyDiv w:val="1"/>
      <w:marLeft w:val="0"/>
      <w:marRight w:val="0"/>
      <w:marTop w:val="0"/>
      <w:marBottom w:val="0"/>
      <w:divBdr>
        <w:top w:val="none" w:sz="0" w:space="0" w:color="auto"/>
        <w:left w:val="none" w:sz="0" w:space="0" w:color="auto"/>
        <w:bottom w:val="none" w:sz="0" w:space="0" w:color="auto"/>
        <w:right w:val="none" w:sz="0" w:space="0" w:color="auto"/>
      </w:divBdr>
    </w:div>
    <w:div w:id="559438935">
      <w:bodyDiv w:val="1"/>
      <w:marLeft w:val="0"/>
      <w:marRight w:val="0"/>
      <w:marTop w:val="0"/>
      <w:marBottom w:val="0"/>
      <w:divBdr>
        <w:top w:val="none" w:sz="0" w:space="0" w:color="auto"/>
        <w:left w:val="none" w:sz="0" w:space="0" w:color="auto"/>
        <w:bottom w:val="none" w:sz="0" w:space="0" w:color="auto"/>
        <w:right w:val="none" w:sz="0" w:space="0" w:color="auto"/>
      </w:divBdr>
    </w:div>
    <w:div w:id="588275576">
      <w:bodyDiv w:val="1"/>
      <w:marLeft w:val="0"/>
      <w:marRight w:val="0"/>
      <w:marTop w:val="0"/>
      <w:marBottom w:val="0"/>
      <w:divBdr>
        <w:top w:val="none" w:sz="0" w:space="0" w:color="auto"/>
        <w:left w:val="none" w:sz="0" w:space="0" w:color="auto"/>
        <w:bottom w:val="none" w:sz="0" w:space="0" w:color="auto"/>
        <w:right w:val="none" w:sz="0" w:space="0" w:color="auto"/>
      </w:divBdr>
    </w:div>
    <w:div w:id="646781385">
      <w:bodyDiv w:val="1"/>
      <w:marLeft w:val="0"/>
      <w:marRight w:val="0"/>
      <w:marTop w:val="0"/>
      <w:marBottom w:val="0"/>
      <w:divBdr>
        <w:top w:val="none" w:sz="0" w:space="0" w:color="auto"/>
        <w:left w:val="none" w:sz="0" w:space="0" w:color="auto"/>
        <w:bottom w:val="none" w:sz="0" w:space="0" w:color="auto"/>
        <w:right w:val="none" w:sz="0" w:space="0" w:color="auto"/>
      </w:divBdr>
    </w:div>
    <w:div w:id="646981468">
      <w:bodyDiv w:val="1"/>
      <w:marLeft w:val="0"/>
      <w:marRight w:val="0"/>
      <w:marTop w:val="0"/>
      <w:marBottom w:val="0"/>
      <w:divBdr>
        <w:top w:val="none" w:sz="0" w:space="0" w:color="auto"/>
        <w:left w:val="none" w:sz="0" w:space="0" w:color="auto"/>
        <w:bottom w:val="none" w:sz="0" w:space="0" w:color="auto"/>
        <w:right w:val="none" w:sz="0" w:space="0" w:color="auto"/>
      </w:divBdr>
    </w:div>
    <w:div w:id="647394277">
      <w:bodyDiv w:val="1"/>
      <w:marLeft w:val="0"/>
      <w:marRight w:val="0"/>
      <w:marTop w:val="0"/>
      <w:marBottom w:val="0"/>
      <w:divBdr>
        <w:top w:val="none" w:sz="0" w:space="0" w:color="auto"/>
        <w:left w:val="none" w:sz="0" w:space="0" w:color="auto"/>
        <w:bottom w:val="none" w:sz="0" w:space="0" w:color="auto"/>
        <w:right w:val="none" w:sz="0" w:space="0" w:color="auto"/>
      </w:divBdr>
    </w:div>
    <w:div w:id="648441846">
      <w:bodyDiv w:val="1"/>
      <w:marLeft w:val="0"/>
      <w:marRight w:val="0"/>
      <w:marTop w:val="0"/>
      <w:marBottom w:val="0"/>
      <w:divBdr>
        <w:top w:val="none" w:sz="0" w:space="0" w:color="auto"/>
        <w:left w:val="none" w:sz="0" w:space="0" w:color="auto"/>
        <w:bottom w:val="none" w:sz="0" w:space="0" w:color="auto"/>
        <w:right w:val="none" w:sz="0" w:space="0" w:color="auto"/>
      </w:divBdr>
    </w:div>
    <w:div w:id="661742923">
      <w:bodyDiv w:val="1"/>
      <w:marLeft w:val="0"/>
      <w:marRight w:val="0"/>
      <w:marTop w:val="0"/>
      <w:marBottom w:val="0"/>
      <w:divBdr>
        <w:top w:val="none" w:sz="0" w:space="0" w:color="auto"/>
        <w:left w:val="none" w:sz="0" w:space="0" w:color="auto"/>
        <w:bottom w:val="none" w:sz="0" w:space="0" w:color="auto"/>
        <w:right w:val="none" w:sz="0" w:space="0" w:color="auto"/>
      </w:divBdr>
    </w:div>
    <w:div w:id="704139662">
      <w:bodyDiv w:val="1"/>
      <w:marLeft w:val="0"/>
      <w:marRight w:val="0"/>
      <w:marTop w:val="0"/>
      <w:marBottom w:val="0"/>
      <w:divBdr>
        <w:top w:val="none" w:sz="0" w:space="0" w:color="auto"/>
        <w:left w:val="none" w:sz="0" w:space="0" w:color="auto"/>
        <w:bottom w:val="none" w:sz="0" w:space="0" w:color="auto"/>
        <w:right w:val="none" w:sz="0" w:space="0" w:color="auto"/>
      </w:divBdr>
    </w:div>
    <w:div w:id="709231258">
      <w:bodyDiv w:val="1"/>
      <w:marLeft w:val="0"/>
      <w:marRight w:val="0"/>
      <w:marTop w:val="0"/>
      <w:marBottom w:val="0"/>
      <w:divBdr>
        <w:top w:val="none" w:sz="0" w:space="0" w:color="auto"/>
        <w:left w:val="none" w:sz="0" w:space="0" w:color="auto"/>
        <w:bottom w:val="none" w:sz="0" w:space="0" w:color="auto"/>
        <w:right w:val="none" w:sz="0" w:space="0" w:color="auto"/>
      </w:divBdr>
    </w:div>
    <w:div w:id="742684882">
      <w:bodyDiv w:val="1"/>
      <w:marLeft w:val="0"/>
      <w:marRight w:val="0"/>
      <w:marTop w:val="0"/>
      <w:marBottom w:val="0"/>
      <w:divBdr>
        <w:top w:val="none" w:sz="0" w:space="0" w:color="auto"/>
        <w:left w:val="none" w:sz="0" w:space="0" w:color="auto"/>
        <w:bottom w:val="none" w:sz="0" w:space="0" w:color="auto"/>
        <w:right w:val="none" w:sz="0" w:space="0" w:color="auto"/>
      </w:divBdr>
    </w:div>
    <w:div w:id="769398991">
      <w:bodyDiv w:val="1"/>
      <w:marLeft w:val="0"/>
      <w:marRight w:val="0"/>
      <w:marTop w:val="0"/>
      <w:marBottom w:val="0"/>
      <w:divBdr>
        <w:top w:val="none" w:sz="0" w:space="0" w:color="auto"/>
        <w:left w:val="none" w:sz="0" w:space="0" w:color="auto"/>
        <w:bottom w:val="none" w:sz="0" w:space="0" w:color="auto"/>
        <w:right w:val="none" w:sz="0" w:space="0" w:color="auto"/>
      </w:divBdr>
    </w:div>
    <w:div w:id="773209890">
      <w:bodyDiv w:val="1"/>
      <w:marLeft w:val="0"/>
      <w:marRight w:val="0"/>
      <w:marTop w:val="0"/>
      <w:marBottom w:val="0"/>
      <w:divBdr>
        <w:top w:val="none" w:sz="0" w:space="0" w:color="auto"/>
        <w:left w:val="none" w:sz="0" w:space="0" w:color="auto"/>
        <w:bottom w:val="none" w:sz="0" w:space="0" w:color="auto"/>
        <w:right w:val="none" w:sz="0" w:space="0" w:color="auto"/>
      </w:divBdr>
    </w:div>
    <w:div w:id="775053125">
      <w:bodyDiv w:val="1"/>
      <w:marLeft w:val="0"/>
      <w:marRight w:val="0"/>
      <w:marTop w:val="0"/>
      <w:marBottom w:val="0"/>
      <w:divBdr>
        <w:top w:val="none" w:sz="0" w:space="0" w:color="auto"/>
        <w:left w:val="none" w:sz="0" w:space="0" w:color="auto"/>
        <w:bottom w:val="none" w:sz="0" w:space="0" w:color="auto"/>
        <w:right w:val="none" w:sz="0" w:space="0" w:color="auto"/>
      </w:divBdr>
    </w:div>
    <w:div w:id="811756601">
      <w:bodyDiv w:val="1"/>
      <w:marLeft w:val="0"/>
      <w:marRight w:val="0"/>
      <w:marTop w:val="0"/>
      <w:marBottom w:val="0"/>
      <w:divBdr>
        <w:top w:val="none" w:sz="0" w:space="0" w:color="auto"/>
        <w:left w:val="none" w:sz="0" w:space="0" w:color="auto"/>
        <w:bottom w:val="none" w:sz="0" w:space="0" w:color="auto"/>
        <w:right w:val="none" w:sz="0" w:space="0" w:color="auto"/>
      </w:divBdr>
    </w:div>
    <w:div w:id="836842848">
      <w:bodyDiv w:val="1"/>
      <w:marLeft w:val="0"/>
      <w:marRight w:val="0"/>
      <w:marTop w:val="0"/>
      <w:marBottom w:val="0"/>
      <w:divBdr>
        <w:top w:val="none" w:sz="0" w:space="0" w:color="auto"/>
        <w:left w:val="none" w:sz="0" w:space="0" w:color="auto"/>
        <w:bottom w:val="none" w:sz="0" w:space="0" w:color="auto"/>
        <w:right w:val="none" w:sz="0" w:space="0" w:color="auto"/>
      </w:divBdr>
    </w:div>
    <w:div w:id="838470541">
      <w:bodyDiv w:val="1"/>
      <w:marLeft w:val="0"/>
      <w:marRight w:val="0"/>
      <w:marTop w:val="0"/>
      <w:marBottom w:val="0"/>
      <w:divBdr>
        <w:top w:val="none" w:sz="0" w:space="0" w:color="auto"/>
        <w:left w:val="none" w:sz="0" w:space="0" w:color="auto"/>
        <w:bottom w:val="none" w:sz="0" w:space="0" w:color="auto"/>
        <w:right w:val="none" w:sz="0" w:space="0" w:color="auto"/>
      </w:divBdr>
    </w:div>
    <w:div w:id="850028524">
      <w:bodyDiv w:val="1"/>
      <w:marLeft w:val="0"/>
      <w:marRight w:val="0"/>
      <w:marTop w:val="0"/>
      <w:marBottom w:val="0"/>
      <w:divBdr>
        <w:top w:val="none" w:sz="0" w:space="0" w:color="auto"/>
        <w:left w:val="none" w:sz="0" w:space="0" w:color="auto"/>
        <w:bottom w:val="none" w:sz="0" w:space="0" w:color="auto"/>
        <w:right w:val="none" w:sz="0" w:space="0" w:color="auto"/>
      </w:divBdr>
      <w:divsChild>
        <w:div w:id="2021543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218211">
      <w:bodyDiv w:val="1"/>
      <w:marLeft w:val="0"/>
      <w:marRight w:val="0"/>
      <w:marTop w:val="0"/>
      <w:marBottom w:val="0"/>
      <w:divBdr>
        <w:top w:val="none" w:sz="0" w:space="0" w:color="auto"/>
        <w:left w:val="none" w:sz="0" w:space="0" w:color="auto"/>
        <w:bottom w:val="none" w:sz="0" w:space="0" w:color="auto"/>
        <w:right w:val="none" w:sz="0" w:space="0" w:color="auto"/>
      </w:divBdr>
      <w:divsChild>
        <w:div w:id="886264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470425">
      <w:bodyDiv w:val="1"/>
      <w:marLeft w:val="0"/>
      <w:marRight w:val="0"/>
      <w:marTop w:val="0"/>
      <w:marBottom w:val="0"/>
      <w:divBdr>
        <w:top w:val="none" w:sz="0" w:space="0" w:color="auto"/>
        <w:left w:val="none" w:sz="0" w:space="0" w:color="auto"/>
        <w:bottom w:val="none" w:sz="0" w:space="0" w:color="auto"/>
        <w:right w:val="none" w:sz="0" w:space="0" w:color="auto"/>
      </w:divBdr>
      <w:divsChild>
        <w:div w:id="862788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585946">
      <w:bodyDiv w:val="1"/>
      <w:marLeft w:val="0"/>
      <w:marRight w:val="0"/>
      <w:marTop w:val="0"/>
      <w:marBottom w:val="0"/>
      <w:divBdr>
        <w:top w:val="none" w:sz="0" w:space="0" w:color="auto"/>
        <w:left w:val="none" w:sz="0" w:space="0" w:color="auto"/>
        <w:bottom w:val="none" w:sz="0" w:space="0" w:color="auto"/>
        <w:right w:val="none" w:sz="0" w:space="0" w:color="auto"/>
      </w:divBdr>
      <w:divsChild>
        <w:div w:id="513494226">
          <w:marLeft w:val="0"/>
          <w:marRight w:val="0"/>
          <w:marTop w:val="0"/>
          <w:marBottom w:val="0"/>
          <w:divBdr>
            <w:top w:val="none" w:sz="0" w:space="0" w:color="auto"/>
            <w:left w:val="none" w:sz="0" w:space="0" w:color="auto"/>
            <w:bottom w:val="none" w:sz="0" w:space="0" w:color="auto"/>
            <w:right w:val="none" w:sz="0" w:space="0" w:color="auto"/>
          </w:divBdr>
          <w:divsChild>
            <w:div w:id="655570658">
              <w:marLeft w:val="0"/>
              <w:marRight w:val="0"/>
              <w:marTop w:val="0"/>
              <w:marBottom w:val="0"/>
              <w:divBdr>
                <w:top w:val="none" w:sz="0" w:space="0" w:color="auto"/>
                <w:left w:val="none" w:sz="0" w:space="0" w:color="auto"/>
                <w:bottom w:val="none" w:sz="0" w:space="0" w:color="auto"/>
                <w:right w:val="none" w:sz="0" w:space="0" w:color="auto"/>
              </w:divBdr>
              <w:divsChild>
                <w:div w:id="422653873">
                  <w:marLeft w:val="0"/>
                  <w:marRight w:val="0"/>
                  <w:marTop w:val="0"/>
                  <w:marBottom w:val="0"/>
                  <w:divBdr>
                    <w:top w:val="none" w:sz="0" w:space="0" w:color="auto"/>
                    <w:left w:val="none" w:sz="0" w:space="0" w:color="auto"/>
                    <w:bottom w:val="none" w:sz="0" w:space="0" w:color="auto"/>
                    <w:right w:val="none" w:sz="0" w:space="0" w:color="auto"/>
                  </w:divBdr>
                  <w:divsChild>
                    <w:div w:id="1315373784">
                      <w:marLeft w:val="0"/>
                      <w:marRight w:val="0"/>
                      <w:marTop w:val="0"/>
                      <w:marBottom w:val="0"/>
                      <w:divBdr>
                        <w:top w:val="none" w:sz="0" w:space="0" w:color="auto"/>
                        <w:left w:val="none" w:sz="0" w:space="0" w:color="auto"/>
                        <w:bottom w:val="none" w:sz="0" w:space="0" w:color="auto"/>
                        <w:right w:val="none" w:sz="0" w:space="0" w:color="auto"/>
                      </w:divBdr>
                      <w:divsChild>
                        <w:div w:id="10077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577585">
      <w:bodyDiv w:val="1"/>
      <w:marLeft w:val="0"/>
      <w:marRight w:val="0"/>
      <w:marTop w:val="0"/>
      <w:marBottom w:val="0"/>
      <w:divBdr>
        <w:top w:val="none" w:sz="0" w:space="0" w:color="auto"/>
        <w:left w:val="none" w:sz="0" w:space="0" w:color="auto"/>
        <w:bottom w:val="none" w:sz="0" w:space="0" w:color="auto"/>
        <w:right w:val="none" w:sz="0" w:space="0" w:color="auto"/>
      </w:divBdr>
    </w:div>
    <w:div w:id="1215777506">
      <w:bodyDiv w:val="1"/>
      <w:marLeft w:val="0"/>
      <w:marRight w:val="0"/>
      <w:marTop w:val="0"/>
      <w:marBottom w:val="0"/>
      <w:divBdr>
        <w:top w:val="none" w:sz="0" w:space="0" w:color="auto"/>
        <w:left w:val="none" w:sz="0" w:space="0" w:color="auto"/>
        <w:bottom w:val="none" w:sz="0" w:space="0" w:color="auto"/>
        <w:right w:val="none" w:sz="0" w:space="0" w:color="auto"/>
      </w:divBdr>
    </w:div>
    <w:div w:id="1242831668">
      <w:bodyDiv w:val="1"/>
      <w:marLeft w:val="0"/>
      <w:marRight w:val="0"/>
      <w:marTop w:val="0"/>
      <w:marBottom w:val="0"/>
      <w:divBdr>
        <w:top w:val="none" w:sz="0" w:space="0" w:color="auto"/>
        <w:left w:val="none" w:sz="0" w:space="0" w:color="auto"/>
        <w:bottom w:val="none" w:sz="0" w:space="0" w:color="auto"/>
        <w:right w:val="none" w:sz="0" w:space="0" w:color="auto"/>
      </w:divBdr>
    </w:div>
    <w:div w:id="1553273365">
      <w:bodyDiv w:val="1"/>
      <w:marLeft w:val="0"/>
      <w:marRight w:val="0"/>
      <w:marTop w:val="0"/>
      <w:marBottom w:val="0"/>
      <w:divBdr>
        <w:top w:val="none" w:sz="0" w:space="0" w:color="auto"/>
        <w:left w:val="none" w:sz="0" w:space="0" w:color="auto"/>
        <w:bottom w:val="none" w:sz="0" w:space="0" w:color="auto"/>
        <w:right w:val="none" w:sz="0" w:space="0" w:color="auto"/>
      </w:divBdr>
    </w:div>
    <w:div w:id="1654334515">
      <w:bodyDiv w:val="1"/>
      <w:marLeft w:val="0"/>
      <w:marRight w:val="0"/>
      <w:marTop w:val="0"/>
      <w:marBottom w:val="0"/>
      <w:divBdr>
        <w:top w:val="none" w:sz="0" w:space="0" w:color="auto"/>
        <w:left w:val="none" w:sz="0" w:space="0" w:color="auto"/>
        <w:bottom w:val="none" w:sz="0" w:space="0" w:color="auto"/>
        <w:right w:val="none" w:sz="0" w:space="0" w:color="auto"/>
      </w:divBdr>
    </w:div>
    <w:div w:id="1788161709">
      <w:bodyDiv w:val="1"/>
      <w:marLeft w:val="0"/>
      <w:marRight w:val="0"/>
      <w:marTop w:val="0"/>
      <w:marBottom w:val="0"/>
      <w:divBdr>
        <w:top w:val="none" w:sz="0" w:space="0" w:color="auto"/>
        <w:left w:val="none" w:sz="0" w:space="0" w:color="auto"/>
        <w:bottom w:val="none" w:sz="0" w:space="0" w:color="auto"/>
        <w:right w:val="none" w:sz="0" w:space="0" w:color="auto"/>
      </w:divBdr>
    </w:div>
    <w:div w:id="1831823011">
      <w:bodyDiv w:val="1"/>
      <w:marLeft w:val="0"/>
      <w:marRight w:val="0"/>
      <w:marTop w:val="0"/>
      <w:marBottom w:val="0"/>
      <w:divBdr>
        <w:top w:val="none" w:sz="0" w:space="0" w:color="auto"/>
        <w:left w:val="none" w:sz="0" w:space="0" w:color="auto"/>
        <w:bottom w:val="none" w:sz="0" w:space="0" w:color="auto"/>
        <w:right w:val="none" w:sz="0" w:space="0" w:color="auto"/>
      </w:divBdr>
    </w:div>
    <w:div w:id="1951663039">
      <w:bodyDiv w:val="1"/>
      <w:marLeft w:val="0"/>
      <w:marRight w:val="0"/>
      <w:marTop w:val="0"/>
      <w:marBottom w:val="0"/>
      <w:divBdr>
        <w:top w:val="none" w:sz="0" w:space="0" w:color="auto"/>
        <w:left w:val="none" w:sz="0" w:space="0" w:color="auto"/>
        <w:bottom w:val="none" w:sz="0" w:space="0" w:color="auto"/>
        <w:right w:val="none" w:sz="0" w:space="0" w:color="auto"/>
      </w:divBdr>
    </w:div>
    <w:div w:id="2020345529">
      <w:bodyDiv w:val="1"/>
      <w:marLeft w:val="0"/>
      <w:marRight w:val="0"/>
      <w:marTop w:val="0"/>
      <w:marBottom w:val="0"/>
      <w:divBdr>
        <w:top w:val="none" w:sz="0" w:space="0" w:color="auto"/>
        <w:left w:val="none" w:sz="0" w:space="0" w:color="auto"/>
        <w:bottom w:val="none" w:sz="0" w:space="0" w:color="auto"/>
        <w:right w:val="none" w:sz="0" w:space="0" w:color="auto"/>
      </w:divBdr>
    </w:div>
    <w:div w:id="2029485913">
      <w:bodyDiv w:val="1"/>
      <w:marLeft w:val="0"/>
      <w:marRight w:val="0"/>
      <w:marTop w:val="0"/>
      <w:marBottom w:val="0"/>
      <w:divBdr>
        <w:top w:val="none" w:sz="0" w:space="0" w:color="auto"/>
        <w:left w:val="none" w:sz="0" w:space="0" w:color="auto"/>
        <w:bottom w:val="none" w:sz="0" w:space="0" w:color="auto"/>
        <w:right w:val="none" w:sz="0" w:space="0" w:color="auto"/>
      </w:divBdr>
    </w:div>
    <w:div w:id="2121871238">
      <w:bodyDiv w:val="1"/>
      <w:marLeft w:val="0"/>
      <w:marRight w:val="0"/>
      <w:marTop w:val="0"/>
      <w:marBottom w:val="0"/>
      <w:divBdr>
        <w:top w:val="none" w:sz="0" w:space="0" w:color="auto"/>
        <w:left w:val="none" w:sz="0" w:space="0" w:color="auto"/>
        <w:bottom w:val="none" w:sz="0" w:space="0" w:color="auto"/>
        <w:right w:val="none" w:sz="0" w:space="0" w:color="auto"/>
      </w:divBdr>
    </w:div>
    <w:div w:id="2132434786">
      <w:bodyDiv w:val="1"/>
      <w:marLeft w:val="0"/>
      <w:marRight w:val="0"/>
      <w:marTop w:val="0"/>
      <w:marBottom w:val="0"/>
      <w:divBdr>
        <w:top w:val="none" w:sz="0" w:space="0" w:color="auto"/>
        <w:left w:val="none" w:sz="0" w:space="0" w:color="auto"/>
        <w:bottom w:val="none" w:sz="0" w:space="0" w:color="auto"/>
        <w:right w:val="none" w:sz="0" w:space="0" w:color="auto"/>
      </w:divBdr>
    </w:div>
    <w:div w:id="214468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bls.gov/ooh/about/glossar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5C72A-8F99-4FFA-9139-48287D3CE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7</Pages>
  <Words>2653</Words>
  <Characters>16639</Characters>
  <Application>Microsoft Office Word</Application>
  <DocSecurity>0</DocSecurity>
  <Lines>308</Lines>
  <Paragraphs>119</Paragraphs>
  <ScaleCrop>false</ScaleCrop>
  <HeadingPairs>
    <vt:vector size="2" baseType="variant">
      <vt:variant>
        <vt:lpstr>Título</vt:lpstr>
      </vt:variant>
      <vt:variant>
        <vt:i4>1</vt:i4>
      </vt:variant>
    </vt:vector>
  </HeadingPairs>
  <TitlesOfParts>
    <vt:vector size="1" baseType="lpstr">
      <vt:lpstr/>
    </vt:vector>
  </TitlesOfParts>
  <Company>WBG</Company>
  <LinksUpToDate>false</LinksUpToDate>
  <CharactersWithSpaces>19173</CharactersWithSpaces>
  <SharedDoc>false</SharedDoc>
  <HLinks>
    <vt:vector size="564" baseType="variant">
      <vt:variant>
        <vt:i4>5374044</vt:i4>
      </vt:variant>
      <vt:variant>
        <vt:i4>339</vt:i4>
      </vt:variant>
      <vt:variant>
        <vt:i4>0</vt:i4>
      </vt:variant>
      <vt:variant>
        <vt:i4>5</vt:i4>
      </vt:variant>
      <vt:variant>
        <vt:lpwstr>https://tinyurl.com/yck5vsuj</vt:lpwstr>
      </vt:variant>
      <vt:variant>
        <vt:lpwstr/>
      </vt:variant>
      <vt:variant>
        <vt:i4>6422575</vt:i4>
      </vt:variant>
      <vt:variant>
        <vt:i4>336</vt:i4>
      </vt:variant>
      <vt:variant>
        <vt:i4>0</vt:i4>
      </vt:variant>
      <vt:variant>
        <vt:i4>5</vt:i4>
      </vt:variant>
      <vt:variant>
        <vt:lpwstr>https://openknowledge.worldbank.org/server/api/core/bitstreams/b5d4f62c-886f-4978-b922-e53bf6dc3d01/content</vt:lpwstr>
      </vt:variant>
      <vt:variant>
        <vt:lpwstr/>
      </vt:variant>
      <vt:variant>
        <vt:i4>7274528</vt:i4>
      </vt:variant>
      <vt:variant>
        <vt:i4>333</vt:i4>
      </vt:variant>
      <vt:variant>
        <vt:i4>0</vt:i4>
      </vt:variant>
      <vt:variant>
        <vt:i4>5</vt:i4>
      </vt:variant>
      <vt:variant>
        <vt:lpwstr>https://www.mdpi.com/2078-2489/13/9/401</vt:lpwstr>
      </vt:variant>
      <vt:variant>
        <vt:lpwstr/>
      </vt:variant>
      <vt:variant>
        <vt:i4>3997820</vt:i4>
      </vt:variant>
      <vt:variant>
        <vt:i4>330</vt:i4>
      </vt:variant>
      <vt:variant>
        <vt:i4>0</vt:i4>
      </vt:variant>
      <vt:variant>
        <vt:i4>5</vt:i4>
      </vt:variant>
      <vt:variant>
        <vt:lpwstr>https://onlinelibrary.wiley.com/doi/10.1111/exsy.12135</vt:lpwstr>
      </vt:variant>
      <vt:variant>
        <vt:lpwstr/>
      </vt:variant>
      <vt:variant>
        <vt:i4>7274551</vt:i4>
      </vt:variant>
      <vt:variant>
        <vt:i4>327</vt:i4>
      </vt:variant>
      <vt:variant>
        <vt:i4>0</vt:i4>
      </vt:variant>
      <vt:variant>
        <vt:i4>5</vt:i4>
      </vt:variant>
      <vt:variant>
        <vt:lpwstr>https://documents.worldbank.org/en/publication/documents-reports/documentdetail/273541499700395624/predicting-school-dropout-with-administrative-data-new-evidence-from-guatemala-and-honduras</vt:lpwstr>
      </vt:variant>
      <vt:variant>
        <vt:lpwstr/>
      </vt:variant>
      <vt:variant>
        <vt:i4>3342459</vt:i4>
      </vt:variant>
      <vt:variant>
        <vt:i4>324</vt:i4>
      </vt:variant>
      <vt:variant>
        <vt:i4>0</vt:i4>
      </vt:variant>
      <vt:variant>
        <vt:i4>5</vt:i4>
      </vt:variant>
      <vt:variant>
        <vt:lpwstr>https://ideas.repec.org/p/osf/socarx/qw249.html</vt:lpwstr>
      </vt:variant>
      <vt:variant>
        <vt:lpwstr/>
      </vt:variant>
      <vt:variant>
        <vt:i4>6815778</vt:i4>
      </vt:variant>
      <vt:variant>
        <vt:i4>321</vt:i4>
      </vt:variant>
      <vt:variant>
        <vt:i4>0</vt:i4>
      </vt:variant>
      <vt:variant>
        <vt:i4>5</vt:i4>
      </vt:variant>
      <vt:variant>
        <vt:lpwstr>https://openknowledge.worldbank.org/server/api/core/bitstreams/adf6456e-557f-44c3-a2fe-4a4e8150adc0/content</vt:lpwstr>
      </vt:variant>
      <vt:variant>
        <vt:lpwstr/>
      </vt:variant>
      <vt:variant>
        <vt:i4>262229</vt:i4>
      </vt:variant>
      <vt:variant>
        <vt:i4>318</vt:i4>
      </vt:variant>
      <vt:variant>
        <vt:i4>0</vt:i4>
      </vt:variant>
      <vt:variant>
        <vt:i4>5</vt:i4>
      </vt:variant>
      <vt:variant>
        <vt:lpwstr>https://documents1.worldbank.org/curated/en/664871619676586259/pdf/Managing-for-Learning-Measuring-and-Strengthening-Education-Management-in-Latin-America-and-the-Caribbean.pdf</vt:lpwstr>
      </vt:variant>
      <vt:variant>
        <vt:lpwstr/>
      </vt:variant>
      <vt:variant>
        <vt:i4>5636144</vt:i4>
      </vt:variant>
      <vt:variant>
        <vt:i4>315</vt:i4>
      </vt:variant>
      <vt:variant>
        <vt:i4>0</vt:i4>
      </vt:variant>
      <vt:variant>
        <vt:i4>5</vt:i4>
      </vt:variant>
      <vt:variant>
        <vt:lpwstr>https://www.researchgate.net/publication/44839899_Decentralized_decision-making_in_schools_the_theory_and_evidence_on_school-based_management</vt:lpwstr>
      </vt:variant>
      <vt:variant>
        <vt:lpwstr/>
      </vt:variant>
      <vt:variant>
        <vt:i4>262229</vt:i4>
      </vt:variant>
      <vt:variant>
        <vt:i4>312</vt:i4>
      </vt:variant>
      <vt:variant>
        <vt:i4>0</vt:i4>
      </vt:variant>
      <vt:variant>
        <vt:i4>5</vt:i4>
      </vt:variant>
      <vt:variant>
        <vt:lpwstr>https://documents1.worldbank.org/curated/en/664871619676586259/pdf/Managing-for-Learning-Measuring-and-Strengthening-Education-Management-in-Latin-America-and-the-Caribbean.pdf</vt:lpwstr>
      </vt:variant>
      <vt:variant>
        <vt:lpwstr/>
      </vt:variant>
      <vt:variant>
        <vt:i4>3801150</vt:i4>
      </vt:variant>
      <vt:variant>
        <vt:i4>309</vt:i4>
      </vt:variant>
      <vt:variant>
        <vt:i4>0</vt:i4>
      </vt:variant>
      <vt:variant>
        <vt:i4>5</vt:i4>
      </vt:variant>
      <vt:variant>
        <vt:lpwstr>https://www.nber.org/papers/w23550</vt:lpwstr>
      </vt:variant>
      <vt:variant>
        <vt:lpwstr/>
      </vt:variant>
      <vt:variant>
        <vt:i4>65605</vt:i4>
      </vt:variant>
      <vt:variant>
        <vt:i4>306</vt:i4>
      </vt:variant>
      <vt:variant>
        <vt:i4>0</vt:i4>
      </vt:variant>
      <vt:variant>
        <vt:i4>5</vt:i4>
      </vt:variant>
      <vt:variant>
        <vt:lpwstr>https://www.sciencedirect.com/science/article/pii/S0883035522000556</vt:lpwstr>
      </vt:variant>
      <vt:variant>
        <vt:lpwstr>bib0003</vt:lpwstr>
      </vt:variant>
      <vt:variant>
        <vt:i4>5177434</vt:i4>
      </vt:variant>
      <vt:variant>
        <vt:i4>303</vt:i4>
      </vt:variant>
      <vt:variant>
        <vt:i4>0</vt:i4>
      </vt:variant>
      <vt:variant>
        <vt:i4>5</vt:i4>
      </vt:variant>
      <vt:variant>
        <vt:lpwstr>https://www.journals.uchicago.edu/doi/full/10.1086/725166</vt:lpwstr>
      </vt:variant>
      <vt:variant>
        <vt:lpwstr/>
      </vt:variant>
      <vt:variant>
        <vt:i4>3473436</vt:i4>
      </vt:variant>
      <vt:variant>
        <vt:i4>300</vt:i4>
      </vt:variant>
      <vt:variant>
        <vt:i4>0</vt:i4>
      </vt:variant>
      <vt:variant>
        <vt:i4>5</vt:i4>
      </vt:variant>
      <vt:variant>
        <vt:lpwstr>https://conference.nber.org/conf_papers/f175969.pdf</vt:lpwstr>
      </vt:variant>
      <vt:variant>
        <vt:lpwstr/>
      </vt:variant>
      <vt:variant>
        <vt:i4>8257595</vt:i4>
      </vt:variant>
      <vt:variant>
        <vt:i4>297</vt:i4>
      </vt:variant>
      <vt:variant>
        <vt:i4>0</vt:i4>
      </vt:variant>
      <vt:variant>
        <vt:i4>5</vt:i4>
      </vt:variant>
      <vt:variant>
        <vt:lpwstr>https://publications.iadb.org/en/publications/english/viewer/Humans-versus-Chatbots-Scaling-up-behavioral-interventions-to-reduce-teacher-shortages.pdf</vt:lpwstr>
      </vt:variant>
      <vt:variant>
        <vt:lpwstr/>
      </vt:variant>
      <vt:variant>
        <vt:i4>2359355</vt:i4>
      </vt:variant>
      <vt:variant>
        <vt:i4>294</vt:i4>
      </vt:variant>
      <vt:variant>
        <vt:i4>0</vt:i4>
      </vt:variant>
      <vt:variant>
        <vt:i4>5</vt:i4>
      </vt:variant>
      <vt:variant>
        <vt:lpwstr>https://publications.iadb.org/en/does-technical-education-improve-academic-outcomes-evidence-brazil</vt:lpwstr>
      </vt:variant>
      <vt:variant>
        <vt:lpwstr/>
      </vt:variant>
      <vt:variant>
        <vt:i4>4849679</vt:i4>
      </vt:variant>
      <vt:variant>
        <vt:i4>291</vt:i4>
      </vt:variant>
      <vt:variant>
        <vt:i4>0</vt:i4>
      </vt:variant>
      <vt:variant>
        <vt:i4>5</vt:i4>
      </vt:variant>
      <vt:variant>
        <vt:lpwstr>https://pubs.aeaweb.org/doi/pdfplus/10.1257/app.20210041</vt:lpwstr>
      </vt:variant>
      <vt:variant>
        <vt:lpwstr/>
      </vt:variant>
      <vt:variant>
        <vt:i4>6553663</vt:i4>
      </vt:variant>
      <vt:variant>
        <vt:i4>288</vt:i4>
      </vt:variant>
      <vt:variant>
        <vt:i4>0</vt:i4>
      </vt:variant>
      <vt:variant>
        <vt:i4>5</vt:i4>
      </vt:variant>
      <vt:variant>
        <vt:lpwstr>https://www.cepal.org/es/publicaciones/47211-diversificacion-la-estructura-la-escuela-secundaria-segmentacion-educativa</vt:lpwstr>
      </vt:variant>
      <vt:variant>
        <vt:lpwstr/>
      </vt:variant>
      <vt:variant>
        <vt:i4>8061040</vt:i4>
      </vt:variant>
      <vt:variant>
        <vt:i4>285</vt:i4>
      </vt:variant>
      <vt:variant>
        <vt:i4>0</vt:i4>
      </vt:variant>
      <vt:variant>
        <vt:i4>5</vt:i4>
      </vt:variant>
      <vt:variant>
        <vt:lpwstr>https://documents1.worldbank.org/curated/en/099071123130516870/pdf/P175566137a5e20651a657168b5152205bf.pdf</vt:lpwstr>
      </vt:variant>
      <vt:variant>
        <vt:lpwstr/>
      </vt:variant>
      <vt:variant>
        <vt:i4>1048652</vt:i4>
      </vt:variant>
      <vt:variant>
        <vt:i4>282</vt:i4>
      </vt:variant>
      <vt:variant>
        <vt:i4>0</vt:i4>
      </vt:variant>
      <vt:variant>
        <vt:i4>5</vt:i4>
      </vt:variant>
      <vt:variant>
        <vt:lpwstr>https://publications.iadb.org/en/publications/english/viewer/Learning-Better-Public-Policy-for-Skills-Development.pdf</vt:lpwstr>
      </vt:variant>
      <vt:variant>
        <vt:lpwstr/>
      </vt:variant>
      <vt:variant>
        <vt:i4>2293837</vt:i4>
      </vt:variant>
      <vt:variant>
        <vt:i4>279</vt:i4>
      </vt:variant>
      <vt:variant>
        <vt:i4>0</vt:i4>
      </vt:variant>
      <vt:variant>
        <vt:i4>5</vt:i4>
      </vt:variant>
      <vt:variant>
        <vt:lpwstr>https://www.oecd.org/en/publications/curriculum-overload_3081ceca-en.html</vt:lpwstr>
      </vt:variant>
      <vt:variant>
        <vt:lpwstr>:~:text=environmental%20literacy%2C%20media%20literacy%2C%20social,offs%20tied%20to%20design%20choices</vt:lpwstr>
      </vt:variant>
      <vt:variant>
        <vt:i4>1048652</vt:i4>
      </vt:variant>
      <vt:variant>
        <vt:i4>276</vt:i4>
      </vt:variant>
      <vt:variant>
        <vt:i4>0</vt:i4>
      </vt:variant>
      <vt:variant>
        <vt:i4>5</vt:i4>
      </vt:variant>
      <vt:variant>
        <vt:lpwstr>https://publications.iadb.org/en/publications/english/viewer/Learning-Better-Public-Policy-for-Skills-Development.pdf</vt:lpwstr>
      </vt:variant>
      <vt:variant>
        <vt:lpwstr/>
      </vt:variant>
      <vt:variant>
        <vt:i4>5898257</vt:i4>
      </vt:variant>
      <vt:variant>
        <vt:i4>273</vt:i4>
      </vt:variant>
      <vt:variant>
        <vt:i4>0</vt:i4>
      </vt:variant>
      <vt:variant>
        <vt:i4>5</vt:i4>
      </vt:variant>
      <vt:variant>
        <vt:lpwstr>https://repositorio.cepal.org/server/api/core/bitstreams/67b9e796-1306-4ab1-a796-f889047d5c69/content</vt:lpwstr>
      </vt:variant>
      <vt:variant>
        <vt:lpwstr/>
      </vt:variant>
      <vt:variant>
        <vt:i4>6291503</vt:i4>
      </vt:variant>
      <vt:variant>
        <vt:i4>270</vt:i4>
      </vt:variant>
      <vt:variant>
        <vt:i4>0</vt:i4>
      </vt:variant>
      <vt:variant>
        <vt:i4>5</vt:i4>
      </vt:variant>
      <vt:variant>
        <vt:lpwstr>https://publications.iadb.org/es/profesion-profesor-en-america-latina-por-que-se-perdio-el-prestigio-docente-y-como-recuperarlo</vt:lpwstr>
      </vt:variant>
      <vt:variant>
        <vt:lpwstr/>
      </vt:variant>
      <vt:variant>
        <vt:i4>6291503</vt:i4>
      </vt:variant>
      <vt:variant>
        <vt:i4>267</vt:i4>
      </vt:variant>
      <vt:variant>
        <vt:i4>0</vt:i4>
      </vt:variant>
      <vt:variant>
        <vt:i4>5</vt:i4>
      </vt:variant>
      <vt:variant>
        <vt:lpwstr>https://publications.iadb.org/es/profesion-profesor-en-america-latina-por-que-se-perdio-el-prestigio-docente-y-como-recuperarlo</vt:lpwstr>
      </vt:variant>
      <vt:variant>
        <vt:lpwstr/>
      </vt:variant>
      <vt:variant>
        <vt:i4>3735559</vt:i4>
      </vt:variant>
      <vt:variant>
        <vt:i4>264</vt:i4>
      </vt:variant>
      <vt:variant>
        <vt:i4>0</vt:i4>
      </vt:variant>
      <vt:variant>
        <vt:i4>5</vt:i4>
      </vt:variant>
      <vt:variant>
        <vt:lpwstr>https://www.google.com/search?q=D%C3%ADaz%2C+H.+2015.+Formaci%C3%B3n+docente+en+el+Per%C3%BA%3A+Realidades+y+tendencias.+Lima%3A+Fundaci%C3%B3n+Santillana&amp;rlz=1C1GCEA_enUS1124US1124&amp;oq=D%C3%ADaz%2C+H.+2015.+Formaci%C3%B3n+docente+en+el+Per%C3%BA%3A+Realidades+y+tendencias.+Lima%3A+Fundaci%C3%B3n+Santillana&amp;gs_lcrp=EgZjaHJvbWUyBggAEEUYOTIHCAEQIRiPAtIBBzcyNGowajSoAgCwAgA&amp;sourceid=chrome&amp;ie=UTF-8</vt:lpwstr>
      </vt:variant>
      <vt:variant>
        <vt:lpwstr/>
      </vt:variant>
      <vt:variant>
        <vt:i4>5242983</vt:i4>
      </vt:variant>
      <vt:variant>
        <vt:i4>261</vt:i4>
      </vt:variant>
      <vt:variant>
        <vt:i4>0</vt:i4>
      </vt:variant>
      <vt:variant>
        <vt:i4>5</vt:i4>
      </vt:variant>
      <vt:variant>
        <vt:lpwstr>https://diposit.ub.edu/dspace/bitstream/2445/99644/1/MJSS_TESIS.pdf</vt:lpwstr>
      </vt:variant>
      <vt:variant>
        <vt:lpwstr/>
      </vt:variant>
      <vt:variant>
        <vt:i4>6815855</vt:i4>
      </vt:variant>
      <vt:variant>
        <vt:i4>258</vt:i4>
      </vt:variant>
      <vt:variant>
        <vt:i4>0</vt:i4>
      </vt:variant>
      <vt:variant>
        <vt:i4>5</vt:i4>
      </vt:variant>
      <vt:variant>
        <vt:lpwstr>https://unesdoc.unesco.org/ark:/48223/pf0000223249</vt:lpwstr>
      </vt:variant>
      <vt:variant>
        <vt:lpwstr/>
      </vt:variant>
      <vt:variant>
        <vt:i4>4915273</vt:i4>
      </vt:variant>
      <vt:variant>
        <vt:i4>255</vt:i4>
      </vt:variant>
      <vt:variant>
        <vt:i4>0</vt:i4>
      </vt:variant>
      <vt:variant>
        <vt:i4>5</vt:i4>
      </vt:variant>
      <vt:variant>
        <vt:lpwstr>https://openknowledge.worldbank.org/entities/publication/139dc219-7cfd-58ca-ab10-e51419eaf520</vt:lpwstr>
      </vt:variant>
      <vt:variant>
        <vt:lpwstr/>
      </vt:variant>
      <vt:variant>
        <vt:i4>6291503</vt:i4>
      </vt:variant>
      <vt:variant>
        <vt:i4>252</vt:i4>
      </vt:variant>
      <vt:variant>
        <vt:i4>0</vt:i4>
      </vt:variant>
      <vt:variant>
        <vt:i4>5</vt:i4>
      </vt:variant>
      <vt:variant>
        <vt:lpwstr>https://publications.iadb.org/es/profesion-profesor-en-america-latina-por-que-se-perdio-el-prestigio-docente-y-como-recuperarlo</vt:lpwstr>
      </vt:variant>
      <vt:variant>
        <vt:lpwstr/>
      </vt:variant>
      <vt:variant>
        <vt:i4>1310728</vt:i4>
      </vt:variant>
      <vt:variant>
        <vt:i4>249</vt:i4>
      </vt:variant>
      <vt:variant>
        <vt:i4>0</vt:i4>
      </vt:variant>
      <vt:variant>
        <vt:i4>5</vt:i4>
      </vt:variant>
      <vt:variant>
        <vt:lpwstr>https://worldbankgroup-my.sharepoint.com/personal/mcantelesaenz_worldbank_org/Documents/Documents/02. Documents/04. Education/09. LAC Secondary Education Report/01. Concept Note/en http:/publicaciones.inee.edu.mx/buscadorPub/</vt:lpwstr>
      </vt:variant>
      <vt:variant>
        <vt:lpwstr/>
      </vt:variant>
      <vt:variant>
        <vt:i4>6291503</vt:i4>
      </vt:variant>
      <vt:variant>
        <vt:i4>246</vt:i4>
      </vt:variant>
      <vt:variant>
        <vt:i4>0</vt:i4>
      </vt:variant>
      <vt:variant>
        <vt:i4>5</vt:i4>
      </vt:variant>
      <vt:variant>
        <vt:lpwstr>https://publications.iadb.org/es/profesion-profesor-en-america-latina-por-que-se-perdio-el-prestigio-docente-y-como-recuperarlo</vt:lpwstr>
      </vt:variant>
      <vt:variant>
        <vt:lpwstr/>
      </vt:variant>
      <vt:variant>
        <vt:i4>6226009</vt:i4>
      </vt:variant>
      <vt:variant>
        <vt:i4>243</vt:i4>
      </vt:variant>
      <vt:variant>
        <vt:i4>0</vt:i4>
      </vt:variant>
      <vt:variant>
        <vt:i4>5</vt:i4>
      </vt:variant>
      <vt:variant>
        <vt:lpwstr>https://www.researchgate.net/publication/237257498_The_Preparation_Gap_Teacher_Education_for_Middle_School_Mathematics_in_Six_Countries</vt:lpwstr>
      </vt:variant>
      <vt:variant>
        <vt:lpwstr/>
      </vt:variant>
      <vt:variant>
        <vt:i4>458820</vt:i4>
      </vt:variant>
      <vt:variant>
        <vt:i4>240</vt:i4>
      </vt:variant>
      <vt:variant>
        <vt:i4>0</vt:i4>
      </vt:variant>
      <vt:variant>
        <vt:i4>5</vt:i4>
      </vt:variant>
      <vt:variant>
        <vt:lpwstr>https://economia.lse.ac.uk/articles/10.31389/eco.412</vt:lpwstr>
      </vt:variant>
      <vt:variant>
        <vt:lpwstr>abstract</vt:lpwstr>
      </vt:variant>
      <vt:variant>
        <vt:i4>2883640</vt:i4>
      </vt:variant>
      <vt:variant>
        <vt:i4>237</vt:i4>
      </vt:variant>
      <vt:variant>
        <vt:i4>0</vt:i4>
      </vt:variant>
      <vt:variant>
        <vt:i4>5</vt:i4>
      </vt:variant>
      <vt:variant>
        <vt:lpwstr>https://economia.lse.ac.uk/articles/412/files/6634893b02219.pdf</vt:lpwstr>
      </vt:variant>
      <vt:variant>
        <vt:lpwstr/>
      </vt:variant>
      <vt:variant>
        <vt:i4>8257575</vt:i4>
      </vt:variant>
      <vt:variant>
        <vt:i4>234</vt:i4>
      </vt:variant>
      <vt:variant>
        <vt:i4>0</vt:i4>
      </vt:variant>
      <vt:variant>
        <vt:i4>5</vt:i4>
      </vt:variant>
      <vt:variant>
        <vt:lpwstr>https://documents1.worldbank.org/curated/en/099512306222222251/pdf/IDU00d6b64030a55e0423b0913f0f2ef3f764417.pdf</vt:lpwstr>
      </vt:variant>
      <vt:variant>
        <vt:lpwstr/>
      </vt:variant>
      <vt:variant>
        <vt:i4>2883640</vt:i4>
      </vt:variant>
      <vt:variant>
        <vt:i4>231</vt:i4>
      </vt:variant>
      <vt:variant>
        <vt:i4>0</vt:i4>
      </vt:variant>
      <vt:variant>
        <vt:i4>5</vt:i4>
      </vt:variant>
      <vt:variant>
        <vt:lpwstr>https://economia.lse.ac.uk/articles/412/files/6634893b02219.pdf</vt:lpwstr>
      </vt:variant>
      <vt:variant>
        <vt:lpwstr/>
      </vt:variant>
      <vt:variant>
        <vt:i4>3211379</vt:i4>
      </vt:variant>
      <vt:variant>
        <vt:i4>228</vt:i4>
      </vt:variant>
      <vt:variant>
        <vt:i4>0</vt:i4>
      </vt:variant>
      <vt:variant>
        <vt:i4>5</vt:i4>
      </vt:variant>
      <vt:variant>
        <vt:lpwstr>https://openknowledge.worldbank.org/server/api/core/bitstreams/d96db5d3-3ba9-45d1-af41-bdc194145449/content</vt:lpwstr>
      </vt:variant>
      <vt:variant>
        <vt:lpwstr/>
      </vt:variant>
      <vt:variant>
        <vt:i4>2031706</vt:i4>
      </vt:variant>
      <vt:variant>
        <vt:i4>225</vt:i4>
      </vt:variant>
      <vt:variant>
        <vt:i4>0</vt:i4>
      </vt:variant>
      <vt:variant>
        <vt:i4>5</vt:i4>
      </vt:variant>
      <vt:variant>
        <vt:lpwstr>https://www.oecd-ilibrary.org/docserver/53f23881-en.pdf?expires=1734018449&amp;id=id&amp;accname=guest&amp;checksum=DDEB6E21C01AC8E6EE03FAE4CA12CD73</vt:lpwstr>
      </vt:variant>
      <vt:variant>
        <vt:lpwstr/>
      </vt:variant>
      <vt:variant>
        <vt:i4>6488127</vt:i4>
      </vt:variant>
      <vt:variant>
        <vt:i4>222</vt:i4>
      </vt:variant>
      <vt:variant>
        <vt:i4>0</vt:i4>
      </vt:variant>
      <vt:variant>
        <vt:i4>5</vt:i4>
      </vt:variant>
      <vt:variant>
        <vt:lpwstr>https://www.oecd.org/en/publications/survey-of-adults-skills-2023-country-notes_ab4f6b8c-en/chile_61180e3a-en.html</vt:lpwstr>
      </vt:variant>
      <vt:variant>
        <vt:lpwstr/>
      </vt:variant>
      <vt:variant>
        <vt:i4>1704057</vt:i4>
      </vt:variant>
      <vt:variant>
        <vt:i4>219</vt:i4>
      </vt:variant>
      <vt:variant>
        <vt:i4>0</vt:i4>
      </vt:variant>
      <vt:variant>
        <vt:i4>5</vt:i4>
      </vt:variant>
      <vt:variant>
        <vt:lpwstr>https://ideas.repec.org/p/hhs/uunewp/2017_015.html</vt:lpwstr>
      </vt:variant>
      <vt:variant>
        <vt:lpwstr/>
      </vt:variant>
      <vt:variant>
        <vt:i4>3997817</vt:i4>
      </vt:variant>
      <vt:variant>
        <vt:i4>216</vt:i4>
      </vt:variant>
      <vt:variant>
        <vt:i4>0</vt:i4>
      </vt:variant>
      <vt:variant>
        <vt:i4>5</vt:i4>
      </vt:variant>
      <vt:variant>
        <vt:lpwstr>https://doi.org/10.1111/joes.12406</vt:lpwstr>
      </vt:variant>
      <vt:variant>
        <vt:lpwstr/>
      </vt:variant>
      <vt:variant>
        <vt:i4>5308510</vt:i4>
      </vt:variant>
      <vt:variant>
        <vt:i4>213</vt:i4>
      </vt:variant>
      <vt:variant>
        <vt:i4>0</vt:i4>
      </vt:variant>
      <vt:variant>
        <vt:i4>5</vt:i4>
      </vt:variant>
      <vt:variant>
        <vt:lpwstr>https://doi.org/10.1162/REST_a_00165</vt:lpwstr>
      </vt:variant>
      <vt:variant>
        <vt:lpwstr/>
      </vt:variant>
      <vt:variant>
        <vt:i4>1638455</vt:i4>
      </vt:variant>
      <vt:variant>
        <vt:i4>210</vt:i4>
      </vt:variant>
      <vt:variant>
        <vt:i4>0</vt:i4>
      </vt:variant>
      <vt:variant>
        <vt:i4>5</vt:i4>
      </vt:variant>
      <vt:variant>
        <vt:lpwstr>https://link.springer.com/referenceworkentry/10.1007/978-3-319-31816-5_4391-1</vt:lpwstr>
      </vt:variant>
      <vt:variant>
        <vt:lpwstr>ref-CR17</vt:lpwstr>
      </vt:variant>
      <vt:variant>
        <vt:i4>3997817</vt:i4>
      </vt:variant>
      <vt:variant>
        <vt:i4>207</vt:i4>
      </vt:variant>
      <vt:variant>
        <vt:i4>0</vt:i4>
      </vt:variant>
      <vt:variant>
        <vt:i4>5</vt:i4>
      </vt:variant>
      <vt:variant>
        <vt:lpwstr>https://doi.org/10.1111/joes.12406</vt:lpwstr>
      </vt:variant>
      <vt:variant>
        <vt:lpwstr/>
      </vt:variant>
      <vt:variant>
        <vt:i4>4653149</vt:i4>
      </vt:variant>
      <vt:variant>
        <vt:i4>204</vt:i4>
      </vt:variant>
      <vt:variant>
        <vt:i4>0</vt:i4>
      </vt:variant>
      <vt:variant>
        <vt:i4>5</vt:i4>
      </vt:variant>
      <vt:variant>
        <vt:lpwstr>https://doi.org/10.1016/j.edurev.2021.100401</vt:lpwstr>
      </vt:variant>
      <vt:variant>
        <vt:lpwstr/>
      </vt:variant>
      <vt:variant>
        <vt:i4>6029391</vt:i4>
      </vt:variant>
      <vt:variant>
        <vt:i4>201</vt:i4>
      </vt:variant>
      <vt:variant>
        <vt:i4>0</vt:i4>
      </vt:variant>
      <vt:variant>
        <vt:i4>5</vt:i4>
      </vt:variant>
      <vt:variant>
        <vt:lpwstr>https://revistascientificas.cuc.edu.co/culturaeducacionysociedad/article/view/904</vt:lpwstr>
      </vt:variant>
      <vt:variant>
        <vt:lpwstr/>
      </vt:variant>
      <vt:variant>
        <vt:i4>2424852</vt:i4>
      </vt:variant>
      <vt:variant>
        <vt:i4>198</vt:i4>
      </vt:variant>
      <vt:variant>
        <vt:i4>0</vt:i4>
      </vt:variant>
      <vt:variant>
        <vt:i4>5</vt:i4>
      </vt:variant>
      <vt:variant>
        <vt:lpwstr>http://www.ie.uchile.cl/download.php?file=noticias/00_1619125708.pdf</vt:lpwstr>
      </vt:variant>
      <vt:variant>
        <vt:lpwstr/>
      </vt:variant>
      <vt:variant>
        <vt:i4>1966132</vt:i4>
      </vt:variant>
      <vt:variant>
        <vt:i4>195</vt:i4>
      </vt:variant>
      <vt:variant>
        <vt:i4>0</vt:i4>
      </vt:variant>
      <vt:variant>
        <vt:i4>5</vt:i4>
      </vt:variant>
      <vt:variant>
        <vt:lpwstr>https://link.springer.com/referenceworkentry/10.1007/978-3-319-31816-5_4391-1</vt:lpwstr>
      </vt:variant>
      <vt:variant>
        <vt:lpwstr>ref-CR20</vt:lpwstr>
      </vt:variant>
      <vt:variant>
        <vt:i4>3014662</vt:i4>
      </vt:variant>
      <vt:variant>
        <vt:i4>192</vt:i4>
      </vt:variant>
      <vt:variant>
        <vt:i4>0</vt:i4>
      </vt:variant>
      <vt:variant>
        <vt:i4>5</vt:i4>
      </vt:variant>
      <vt:variant>
        <vt:lpwstr>https://link.springer.com/referenceworkentry/10.1007/978-3-319-31816-5_4391-1</vt:lpwstr>
      </vt:variant>
      <vt:variant>
        <vt:lpwstr>ref-CR8</vt:lpwstr>
      </vt:variant>
      <vt:variant>
        <vt:i4>1769527</vt:i4>
      </vt:variant>
      <vt:variant>
        <vt:i4>189</vt:i4>
      </vt:variant>
      <vt:variant>
        <vt:i4>0</vt:i4>
      </vt:variant>
      <vt:variant>
        <vt:i4>5</vt:i4>
      </vt:variant>
      <vt:variant>
        <vt:lpwstr>https://link.springer.com/referenceworkentry/10.1007/978-3-319-31816-5_4391-1</vt:lpwstr>
      </vt:variant>
      <vt:variant>
        <vt:lpwstr>ref-CR15</vt:lpwstr>
      </vt:variant>
      <vt:variant>
        <vt:i4>3539019</vt:i4>
      </vt:variant>
      <vt:variant>
        <vt:i4>186</vt:i4>
      </vt:variant>
      <vt:variant>
        <vt:i4>0</vt:i4>
      </vt:variant>
      <vt:variant>
        <vt:i4>5</vt:i4>
      </vt:variant>
      <vt:variant>
        <vt:lpwstr>https://www.oecd.org/en/publications/education-at-a-glance-2021_b35a14e5-en.html</vt:lpwstr>
      </vt:variant>
      <vt:variant>
        <vt:lpwstr/>
      </vt:variant>
      <vt:variant>
        <vt:i4>1310833</vt:i4>
      </vt:variant>
      <vt:variant>
        <vt:i4>183</vt:i4>
      </vt:variant>
      <vt:variant>
        <vt:i4>0</vt:i4>
      </vt:variant>
      <vt:variant>
        <vt:i4>5</vt:i4>
      </vt:variant>
      <vt:variant>
        <vt:lpwstr>https://link.springer.com/referenceworkentry/10.1007/978-3-319-31816-5_4391-1</vt:lpwstr>
      </vt:variant>
      <vt:variant>
        <vt:lpwstr/>
      </vt:variant>
      <vt:variant>
        <vt:i4>1310833</vt:i4>
      </vt:variant>
      <vt:variant>
        <vt:i4>180</vt:i4>
      </vt:variant>
      <vt:variant>
        <vt:i4>0</vt:i4>
      </vt:variant>
      <vt:variant>
        <vt:i4>5</vt:i4>
      </vt:variant>
      <vt:variant>
        <vt:lpwstr>https://link.springer.com/referenceworkentry/10.1007/978-3-319-31816-5_4391-1</vt:lpwstr>
      </vt:variant>
      <vt:variant>
        <vt:lpwstr/>
      </vt:variant>
      <vt:variant>
        <vt:i4>1376271</vt:i4>
      </vt:variant>
      <vt:variant>
        <vt:i4>177</vt:i4>
      </vt:variant>
      <vt:variant>
        <vt:i4>0</vt:i4>
      </vt:variant>
      <vt:variant>
        <vt:i4>5</vt:i4>
      </vt:variant>
      <vt:variant>
        <vt:lpwstr>https://publications.iadb.org/en/state-education-latin-america-and-caribbean-2023</vt:lpwstr>
      </vt:variant>
      <vt:variant>
        <vt:lpwstr/>
      </vt:variant>
      <vt:variant>
        <vt:i4>3801144</vt:i4>
      </vt:variant>
      <vt:variant>
        <vt:i4>174</vt:i4>
      </vt:variant>
      <vt:variant>
        <vt:i4>0</vt:i4>
      </vt:variant>
      <vt:variant>
        <vt:i4>5</vt:i4>
      </vt:variant>
      <vt:variant>
        <vt:lpwstr>https://publications.iadb.org/publications/english/document/The-State-of-Education-in-Latin-America-and-the-Caribbean-2023.pdf</vt:lpwstr>
      </vt:variant>
      <vt:variant>
        <vt:lpwstr/>
      </vt:variant>
      <vt:variant>
        <vt:i4>3342430</vt:i4>
      </vt:variant>
      <vt:variant>
        <vt:i4>171</vt:i4>
      </vt:variant>
      <vt:variant>
        <vt:i4>0</vt:i4>
      </vt:variant>
      <vt:variant>
        <vt:i4>5</vt:i4>
      </vt:variant>
      <vt:variant>
        <vt:lpwstr>https://www.oecd.org/en/publications/pisa-2022-results-volume-i_53f23881-en/full-report.html</vt:lpwstr>
      </vt:variant>
      <vt:variant>
        <vt:lpwstr/>
      </vt:variant>
      <vt:variant>
        <vt:i4>262229</vt:i4>
      </vt:variant>
      <vt:variant>
        <vt:i4>168</vt:i4>
      </vt:variant>
      <vt:variant>
        <vt:i4>0</vt:i4>
      </vt:variant>
      <vt:variant>
        <vt:i4>5</vt:i4>
      </vt:variant>
      <vt:variant>
        <vt:lpwstr>https://documents1.worldbank.org/curated/en/664871619676586259/pdf/Managing-for-Learning-Measuring-and-Strengthening-Education-Management-in-Latin-America-and-the-Caribbean.pdf</vt:lpwstr>
      </vt:variant>
      <vt:variant>
        <vt:lpwstr/>
      </vt:variant>
      <vt:variant>
        <vt:i4>4849728</vt:i4>
      </vt:variant>
      <vt:variant>
        <vt:i4>165</vt:i4>
      </vt:variant>
      <vt:variant>
        <vt:i4>0</vt:i4>
      </vt:variant>
      <vt:variant>
        <vt:i4>5</vt:i4>
      </vt:variant>
      <vt:variant>
        <vt:lpwstr>https://www.worldbank.org/en/publication/wdr2018</vt:lpwstr>
      </vt:variant>
      <vt:variant>
        <vt:lpwstr/>
      </vt:variant>
      <vt:variant>
        <vt:i4>3276882</vt:i4>
      </vt:variant>
      <vt:variant>
        <vt:i4>162</vt:i4>
      </vt:variant>
      <vt:variant>
        <vt:i4>0</vt:i4>
      </vt:variant>
      <vt:variant>
        <vt:i4>5</vt:i4>
      </vt:variant>
      <vt:variant>
        <vt:lpwstr>https://www.oecd.org/en/publications/pisa-for-development-out-of-school-assessment_491fb74a-en.html</vt:lpwstr>
      </vt:variant>
      <vt:variant>
        <vt:lpwstr/>
      </vt:variant>
      <vt:variant>
        <vt:i4>1048652</vt:i4>
      </vt:variant>
      <vt:variant>
        <vt:i4>159</vt:i4>
      </vt:variant>
      <vt:variant>
        <vt:i4>0</vt:i4>
      </vt:variant>
      <vt:variant>
        <vt:i4>5</vt:i4>
      </vt:variant>
      <vt:variant>
        <vt:lpwstr>https://publications.iadb.org/en/publications/english/viewer/Learning-Better-Public-Policy-for-Skills-Development.pdf</vt:lpwstr>
      </vt:variant>
      <vt:variant>
        <vt:lpwstr/>
      </vt:variant>
      <vt:variant>
        <vt:i4>1704000</vt:i4>
      </vt:variant>
      <vt:variant>
        <vt:i4>156</vt:i4>
      </vt:variant>
      <vt:variant>
        <vt:i4>0</vt:i4>
      </vt:variant>
      <vt:variant>
        <vt:i4>5</vt:i4>
      </vt:variant>
      <vt:variant>
        <vt:lpwstr>https://openknowledge.worldbank.org/entities/publication/83e4ac1b-aa2f-5eb2-ad54-db1acdbb5200</vt:lpwstr>
      </vt:variant>
      <vt:variant>
        <vt:lpwstr/>
      </vt:variant>
      <vt:variant>
        <vt:i4>1114238</vt:i4>
      </vt:variant>
      <vt:variant>
        <vt:i4>153</vt:i4>
      </vt:variant>
      <vt:variant>
        <vt:i4>0</vt:i4>
      </vt:variant>
      <vt:variant>
        <vt:i4>5</vt:i4>
      </vt:variant>
      <vt:variant>
        <vt:lpwstr>https://www.cedlas.econo.unlp.edu.ar/wp/wp-content/uploads/doc_cedlas213.pdf</vt:lpwstr>
      </vt:variant>
      <vt:variant>
        <vt:lpwstr/>
      </vt:variant>
      <vt:variant>
        <vt:i4>4325456</vt:i4>
      </vt:variant>
      <vt:variant>
        <vt:i4>150</vt:i4>
      </vt:variant>
      <vt:variant>
        <vt:i4>0</vt:i4>
      </vt:variant>
      <vt:variant>
        <vt:i4>5</vt:i4>
      </vt:variant>
      <vt:variant>
        <vt:lpwstr>https://www.journals.uchicago.edu/doi/full/10.1086/717895</vt:lpwstr>
      </vt:variant>
      <vt:variant>
        <vt:lpwstr/>
      </vt:variant>
      <vt:variant>
        <vt:i4>4522077</vt:i4>
      </vt:variant>
      <vt:variant>
        <vt:i4>147</vt:i4>
      </vt:variant>
      <vt:variant>
        <vt:i4>0</vt:i4>
      </vt:variant>
      <vt:variant>
        <vt:i4>5</vt:i4>
      </vt:variant>
      <vt:variant>
        <vt:lpwstr>https://www.oecd-ilibrary.org/docserver/f011522f-en.pdf?expires=1732657389&amp;id=id&amp;accname=guest&amp;checksum=F52ECEC0DEB9EA0F266CB41944F61884</vt:lpwstr>
      </vt:variant>
      <vt:variant>
        <vt:lpwstr/>
      </vt:variant>
      <vt:variant>
        <vt:i4>917591</vt:i4>
      </vt:variant>
      <vt:variant>
        <vt:i4>144</vt:i4>
      </vt:variant>
      <vt:variant>
        <vt:i4>0</vt:i4>
      </vt:variant>
      <vt:variant>
        <vt:i4>5</vt:i4>
      </vt:variant>
      <vt:variant>
        <vt:lpwstr>https://link.springer.com/content/pdf/10.1186/s40536-017-0045-7.pdf</vt:lpwstr>
      </vt:variant>
      <vt:variant>
        <vt:lpwstr>page=20.25</vt:lpwstr>
      </vt:variant>
      <vt:variant>
        <vt:i4>5963883</vt:i4>
      </vt:variant>
      <vt:variant>
        <vt:i4>141</vt:i4>
      </vt:variant>
      <vt:variant>
        <vt:i4>0</vt:i4>
      </vt:variant>
      <vt:variant>
        <vt:i4>5</vt:i4>
      </vt:variant>
      <vt:variant>
        <vt:lpwstr>https://www.journals.uchicago.edu/doi/pdf/10.1086/698760?casa_token=CzCGisX6x0YAAAAA:EJbR7FiiOt4WDwu3k1gZR5HpPHFvTklHyQgcLFXCaPl4j5pAOnqKyQdPWDCg_bcEDoMqjBjL46K_2ok</vt:lpwstr>
      </vt:variant>
      <vt:variant>
        <vt:lpwstr/>
      </vt:variant>
      <vt:variant>
        <vt:i4>1572938</vt:i4>
      </vt:variant>
      <vt:variant>
        <vt:i4>138</vt:i4>
      </vt:variant>
      <vt:variant>
        <vt:i4>0</vt:i4>
      </vt:variant>
      <vt:variant>
        <vt:i4>5</vt:i4>
      </vt:variant>
      <vt:variant>
        <vt:lpwstr>https://www.tandfonline.com/doi/full/10.1080/09645292.2018.1484426</vt:lpwstr>
      </vt:variant>
      <vt:variant>
        <vt:lpwstr>d1e375</vt:lpwstr>
      </vt:variant>
      <vt:variant>
        <vt:i4>7929902</vt:i4>
      </vt:variant>
      <vt:variant>
        <vt:i4>135</vt:i4>
      </vt:variant>
      <vt:variant>
        <vt:i4>0</vt:i4>
      </vt:variant>
      <vt:variant>
        <vt:i4>5</vt:i4>
      </vt:variant>
      <vt:variant>
        <vt:lpwstr>https://documents1.worldbank.org/curated/en/099949503072417572/pdf/IDU195938e411c749141bd1af8d11905da4cf2f7.pdf</vt:lpwstr>
      </vt:variant>
      <vt:variant>
        <vt:lpwstr/>
      </vt:variant>
      <vt:variant>
        <vt:i4>5111874</vt:i4>
      </vt:variant>
      <vt:variant>
        <vt:i4>132</vt:i4>
      </vt:variant>
      <vt:variant>
        <vt:i4>0</vt:i4>
      </vt:variant>
      <vt:variant>
        <vt:i4>5</vt:i4>
      </vt:variant>
      <vt:variant>
        <vt:lpwstr>https://publications.iadb.org/en/learning-better-public-policy-skills-development</vt:lpwstr>
      </vt:variant>
      <vt:variant>
        <vt:lpwstr/>
      </vt:variant>
      <vt:variant>
        <vt:i4>3014695</vt:i4>
      </vt:variant>
      <vt:variant>
        <vt:i4>129</vt:i4>
      </vt:variant>
      <vt:variant>
        <vt:i4>0</vt:i4>
      </vt:variant>
      <vt:variant>
        <vt:i4>5</vt:i4>
      </vt:variant>
      <vt:variant>
        <vt:lpwstr>https://www.worldbank.org/en/programs/educacion-america-latina-caribe/commitment-to-action</vt:lpwstr>
      </vt:variant>
      <vt:variant>
        <vt:lpwstr>:~:text=In%20March%202023%2C%20education%20ministers,basic%20learning%20for%20all%20children.</vt:lpwstr>
      </vt:variant>
      <vt:variant>
        <vt:i4>1966139</vt:i4>
      </vt:variant>
      <vt:variant>
        <vt:i4>122</vt:i4>
      </vt:variant>
      <vt:variant>
        <vt:i4>0</vt:i4>
      </vt:variant>
      <vt:variant>
        <vt:i4>5</vt:i4>
      </vt:variant>
      <vt:variant>
        <vt:lpwstr/>
      </vt:variant>
      <vt:variant>
        <vt:lpwstr>_Toc573248941</vt:lpwstr>
      </vt:variant>
      <vt:variant>
        <vt:i4>1900595</vt:i4>
      </vt:variant>
      <vt:variant>
        <vt:i4>116</vt:i4>
      </vt:variant>
      <vt:variant>
        <vt:i4>0</vt:i4>
      </vt:variant>
      <vt:variant>
        <vt:i4>5</vt:i4>
      </vt:variant>
      <vt:variant>
        <vt:lpwstr/>
      </vt:variant>
      <vt:variant>
        <vt:lpwstr>_Toc253936106</vt:lpwstr>
      </vt:variant>
      <vt:variant>
        <vt:i4>2949134</vt:i4>
      </vt:variant>
      <vt:variant>
        <vt:i4>110</vt:i4>
      </vt:variant>
      <vt:variant>
        <vt:i4>0</vt:i4>
      </vt:variant>
      <vt:variant>
        <vt:i4>5</vt:i4>
      </vt:variant>
      <vt:variant>
        <vt:lpwstr/>
      </vt:variant>
      <vt:variant>
        <vt:lpwstr>_Toc1915463696</vt:lpwstr>
      </vt:variant>
      <vt:variant>
        <vt:i4>2162702</vt:i4>
      </vt:variant>
      <vt:variant>
        <vt:i4>104</vt:i4>
      </vt:variant>
      <vt:variant>
        <vt:i4>0</vt:i4>
      </vt:variant>
      <vt:variant>
        <vt:i4>5</vt:i4>
      </vt:variant>
      <vt:variant>
        <vt:lpwstr/>
      </vt:variant>
      <vt:variant>
        <vt:lpwstr>_Toc1915935920</vt:lpwstr>
      </vt:variant>
      <vt:variant>
        <vt:i4>1179700</vt:i4>
      </vt:variant>
      <vt:variant>
        <vt:i4>98</vt:i4>
      </vt:variant>
      <vt:variant>
        <vt:i4>0</vt:i4>
      </vt:variant>
      <vt:variant>
        <vt:i4>5</vt:i4>
      </vt:variant>
      <vt:variant>
        <vt:lpwstr/>
      </vt:variant>
      <vt:variant>
        <vt:lpwstr>_Toc441901199</vt:lpwstr>
      </vt:variant>
      <vt:variant>
        <vt:i4>1310775</vt:i4>
      </vt:variant>
      <vt:variant>
        <vt:i4>92</vt:i4>
      </vt:variant>
      <vt:variant>
        <vt:i4>0</vt:i4>
      </vt:variant>
      <vt:variant>
        <vt:i4>5</vt:i4>
      </vt:variant>
      <vt:variant>
        <vt:lpwstr/>
      </vt:variant>
      <vt:variant>
        <vt:lpwstr>_Toc532121209</vt:lpwstr>
      </vt:variant>
      <vt:variant>
        <vt:i4>2490375</vt:i4>
      </vt:variant>
      <vt:variant>
        <vt:i4>86</vt:i4>
      </vt:variant>
      <vt:variant>
        <vt:i4>0</vt:i4>
      </vt:variant>
      <vt:variant>
        <vt:i4>5</vt:i4>
      </vt:variant>
      <vt:variant>
        <vt:lpwstr/>
      </vt:variant>
      <vt:variant>
        <vt:lpwstr>_Toc1295049765</vt:lpwstr>
      </vt:variant>
      <vt:variant>
        <vt:i4>2097152</vt:i4>
      </vt:variant>
      <vt:variant>
        <vt:i4>80</vt:i4>
      </vt:variant>
      <vt:variant>
        <vt:i4>0</vt:i4>
      </vt:variant>
      <vt:variant>
        <vt:i4>5</vt:i4>
      </vt:variant>
      <vt:variant>
        <vt:lpwstr/>
      </vt:variant>
      <vt:variant>
        <vt:lpwstr>_Toc1289708569</vt:lpwstr>
      </vt:variant>
      <vt:variant>
        <vt:i4>1441848</vt:i4>
      </vt:variant>
      <vt:variant>
        <vt:i4>74</vt:i4>
      </vt:variant>
      <vt:variant>
        <vt:i4>0</vt:i4>
      </vt:variant>
      <vt:variant>
        <vt:i4>5</vt:i4>
      </vt:variant>
      <vt:variant>
        <vt:lpwstr/>
      </vt:variant>
      <vt:variant>
        <vt:lpwstr>_Toc48692282</vt:lpwstr>
      </vt:variant>
      <vt:variant>
        <vt:i4>2818058</vt:i4>
      </vt:variant>
      <vt:variant>
        <vt:i4>68</vt:i4>
      </vt:variant>
      <vt:variant>
        <vt:i4>0</vt:i4>
      </vt:variant>
      <vt:variant>
        <vt:i4>5</vt:i4>
      </vt:variant>
      <vt:variant>
        <vt:lpwstr/>
      </vt:variant>
      <vt:variant>
        <vt:lpwstr>_Toc1278145280</vt:lpwstr>
      </vt:variant>
      <vt:variant>
        <vt:i4>3014659</vt:i4>
      </vt:variant>
      <vt:variant>
        <vt:i4>62</vt:i4>
      </vt:variant>
      <vt:variant>
        <vt:i4>0</vt:i4>
      </vt:variant>
      <vt:variant>
        <vt:i4>5</vt:i4>
      </vt:variant>
      <vt:variant>
        <vt:lpwstr/>
      </vt:variant>
      <vt:variant>
        <vt:lpwstr>_Toc1676579698</vt:lpwstr>
      </vt:variant>
      <vt:variant>
        <vt:i4>2621451</vt:i4>
      </vt:variant>
      <vt:variant>
        <vt:i4>56</vt:i4>
      </vt:variant>
      <vt:variant>
        <vt:i4>0</vt:i4>
      </vt:variant>
      <vt:variant>
        <vt:i4>5</vt:i4>
      </vt:variant>
      <vt:variant>
        <vt:lpwstr/>
      </vt:variant>
      <vt:variant>
        <vt:lpwstr>_Toc1984746731</vt:lpwstr>
      </vt:variant>
      <vt:variant>
        <vt:i4>1245239</vt:i4>
      </vt:variant>
      <vt:variant>
        <vt:i4>50</vt:i4>
      </vt:variant>
      <vt:variant>
        <vt:i4>0</vt:i4>
      </vt:variant>
      <vt:variant>
        <vt:i4>5</vt:i4>
      </vt:variant>
      <vt:variant>
        <vt:lpwstr/>
      </vt:variant>
      <vt:variant>
        <vt:lpwstr>_Toc210011447</vt:lpwstr>
      </vt:variant>
      <vt:variant>
        <vt:i4>1179700</vt:i4>
      </vt:variant>
      <vt:variant>
        <vt:i4>44</vt:i4>
      </vt:variant>
      <vt:variant>
        <vt:i4>0</vt:i4>
      </vt:variant>
      <vt:variant>
        <vt:i4>5</vt:i4>
      </vt:variant>
      <vt:variant>
        <vt:lpwstr/>
      </vt:variant>
      <vt:variant>
        <vt:lpwstr>_Toc688397390</vt:lpwstr>
      </vt:variant>
      <vt:variant>
        <vt:i4>2621441</vt:i4>
      </vt:variant>
      <vt:variant>
        <vt:i4>38</vt:i4>
      </vt:variant>
      <vt:variant>
        <vt:i4>0</vt:i4>
      </vt:variant>
      <vt:variant>
        <vt:i4>5</vt:i4>
      </vt:variant>
      <vt:variant>
        <vt:lpwstr/>
      </vt:variant>
      <vt:variant>
        <vt:lpwstr>_Toc1716740369</vt:lpwstr>
      </vt:variant>
      <vt:variant>
        <vt:i4>1769531</vt:i4>
      </vt:variant>
      <vt:variant>
        <vt:i4>32</vt:i4>
      </vt:variant>
      <vt:variant>
        <vt:i4>0</vt:i4>
      </vt:variant>
      <vt:variant>
        <vt:i4>5</vt:i4>
      </vt:variant>
      <vt:variant>
        <vt:lpwstr/>
      </vt:variant>
      <vt:variant>
        <vt:lpwstr>_Toc753488754</vt:lpwstr>
      </vt:variant>
      <vt:variant>
        <vt:i4>2097165</vt:i4>
      </vt:variant>
      <vt:variant>
        <vt:i4>26</vt:i4>
      </vt:variant>
      <vt:variant>
        <vt:i4>0</vt:i4>
      </vt:variant>
      <vt:variant>
        <vt:i4>5</vt:i4>
      </vt:variant>
      <vt:variant>
        <vt:lpwstr/>
      </vt:variant>
      <vt:variant>
        <vt:lpwstr>_Toc1508749729</vt:lpwstr>
      </vt:variant>
      <vt:variant>
        <vt:i4>2490374</vt:i4>
      </vt:variant>
      <vt:variant>
        <vt:i4>20</vt:i4>
      </vt:variant>
      <vt:variant>
        <vt:i4>0</vt:i4>
      </vt:variant>
      <vt:variant>
        <vt:i4>5</vt:i4>
      </vt:variant>
      <vt:variant>
        <vt:lpwstr/>
      </vt:variant>
      <vt:variant>
        <vt:lpwstr>_Toc1968724321</vt:lpwstr>
      </vt:variant>
      <vt:variant>
        <vt:i4>2752521</vt:i4>
      </vt:variant>
      <vt:variant>
        <vt:i4>14</vt:i4>
      </vt:variant>
      <vt:variant>
        <vt:i4>0</vt:i4>
      </vt:variant>
      <vt:variant>
        <vt:i4>5</vt:i4>
      </vt:variant>
      <vt:variant>
        <vt:lpwstr/>
      </vt:variant>
      <vt:variant>
        <vt:lpwstr>_Toc8266795</vt:lpwstr>
      </vt:variant>
      <vt:variant>
        <vt:i4>1638451</vt:i4>
      </vt:variant>
      <vt:variant>
        <vt:i4>8</vt:i4>
      </vt:variant>
      <vt:variant>
        <vt:i4>0</vt:i4>
      </vt:variant>
      <vt:variant>
        <vt:i4>5</vt:i4>
      </vt:variant>
      <vt:variant>
        <vt:lpwstr/>
      </vt:variant>
      <vt:variant>
        <vt:lpwstr>_Toc59013254</vt:lpwstr>
      </vt:variant>
      <vt:variant>
        <vt:i4>1245237</vt:i4>
      </vt:variant>
      <vt:variant>
        <vt:i4>2</vt:i4>
      </vt:variant>
      <vt:variant>
        <vt:i4>0</vt:i4>
      </vt:variant>
      <vt:variant>
        <vt:i4>5</vt:i4>
      </vt:variant>
      <vt:variant>
        <vt:lpwstr/>
      </vt:variant>
      <vt:variant>
        <vt:lpwstr>_Toc768295351</vt:lpwstr>
      </vt:variant>
      <vt:variant>
        <vt:i4>7143488</vt:i4>
      </vt:variant>
      <vt:variant>
        <vt:i4>3</vt:i4>
      </vt:variant>
      <vt:variant>
        <vt:i4>0</vt:i4>
      </vt:variant>
      <vt:variant>
        <vt:i4>5</vt:i4>
      </vt:variant>
      <vt:variant>
        <vt:lpwstr>https://link.springer.com/referenceworkentry/10.1007/978-3-319-31816-5_4391-1/figures/1</vt:lpwstr>
      </vt:variant>
      <vt:variant>
        <vt:lpwstr/>
      </vt:variant>
      <vt:variant>
        <vt:i4>1048652</vt:i4>
      </vt:variant>
      <vt:variant>
        <vt:i4>0</vt:i4>
      </vt:variant>
      <vt:variant>
        <vt:i4>0</vt:i4>
      </vt:variant>
      <vt:variant>
        <vt:i4>5</vt:i4>
      </vt:variant>
      <vt:variant>
        <vt:lpwstr>https://publications.iadb.org/en/publications/english/viewer/Learning-Better-Public-Policy-for-Skills-Development.pdf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Andreina Cantele Saenz</dc:creator>
  <cp:keywords/>
  <dc:description/>
  <cp:lastModifiedBy>Monica Yanez Pagans</cp:lastModifiedBy>
  <cp:revision>34</cp:revision>
  <dcterms:created xsi:type="dcterms:W3CDTF">2026-02-02T17:44:00Z</dcterms:created>
  <dcterms:modified xsi:type="dcterms:W3CDTF">2026-02-28T21:57:00Z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359fcd29-169e-440f-8525-760fb35ea756</vt:lpwstr>
  </property>
  <property fmtid="{D5CDD505-2E9C-101B-9397-08002B2CF9AE}" pid="3" name="MSIP_Label_89608d83-f952-409d-b7c5-456515bbbf5a_Enabled">
    <vt:lpwstr>true</vt:lpwstr>
  </property>
  <property fmtid="{D5CDD505-2E9C-101B-9397-08002B2CF9AE}" pid="4" name="MSIP_Label_89608d83-f952-409d-b7c5-456515bbbf5a_SetDate">
    <vt:lpwstr>2026-02-04T18:39:38Z</vt:lpwstr>
  </property>
  <property fmtid="{D5CDD505-2E9C-101B-9397-08002B2CF9AE}" pid="5" name="MSIP_Label_89608d83-f952-409d-b7c5-456515bbbf5a_Method">
    <vt:lpwstr>Privileged</vt:lpwstr>
  </property>
  <property fmtid="{D5CDD505-2E9C-101B-9397-08002B2CF9AE}" pid="6" name="MSIP_Label_89608d83-f952-409d-b7c5-456515bbbf5a_Name">
    <vt:lpwstr>Public</vt:lpwstr>
  </property>
  <property fmtid="{D5CDD505-2E9C-101B-9397-08002B2CF9AE}" pid="7" name="MSIP_Label_89608d83-f952-409d-b7c5-456515bbbf5a_SiteId">
    <vt:lpwstr>31a2fec0-266b-4c67-b56e-2796d8f59c36</vt:lpwstr>
  </property>
  <property fmtid="{D5CDD505-2E9C-101B-9397-08002B2CF9AE}" pid="8" name="MSIP_Label_89608d83-f952-409d-b7c5-456515bbbf5a_ActionId">
    <vt:lpwstr>af05fa0d-27c9-4d44-ba19-813e7aa3eb3a</vt:lpwstr>
  </property>
  <property fmtid="{D5CDD505-2E9C-101B-9397-08002B2CF9AE}" pid="9" name="MSIP_Label_89608d83-f952-409d-b7c5-456515bbbf5a_ContentBits">
    <vt:lpwstr>0</vt:lpwstr>
  </property>
  <property fmtid="{D5CDD505-2E9C-101B-9397-08002B2CF9AE}" pid="10" name="MSIP_Label_89608d83-f952-409d-b7c5-456515bbbf5a_Tag">
    <vt:lpwstr>10, 0, 1, 1</vt:lpwstr>
  </property>
</Properties>
</file>