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A3680" w:rsidRPr="001A3680" w14:paraId="6E0EBBC5" w14:textId="77777777" w:rsidTr="00E861B5">
        <w:trPr>
          <w:trHeight w:val="340"/>
        </w:trPr>
        <w:tc>
          <w:tcPr>
            <w:tcW w:w="9016" w:type="dxa"/>
            <w:shd w:val="clear" w:color="auto" w:fill="34A7AF"/>
            <w:vAlign w:val="center"/>
          </w:tcPr>
          <w:p>
            <w:r>
              <w:t xml:space="preserve">Flammable Liquids (use and storage of) </w:t>
            </w:r>
          </w:p>
        </w:tc>
      </w:tr>
      <w:tr w:rsidR="001A3680" w:rsidRPr="001A3680" w14:paraId="7E6C189B" w14:textId="77777777" w:rsidTr="00140227">
        <w:tc>
          <w:tcPr>
            <w:tcW w:w="9016" w:type="dxa"/>
          </w:tcPr>
          <w:p>
            <w:r>
              <w:br/>
              <w:t>Description of activity</w:t>
              <w:br/>
              <w:br/>
              <w:t>Diesel and petrol as fuel.</w:t>
              <w:br/>
              <w:t>Reasonable amounts are kept as stock products in unopened containers e.g. solvents, resins, fillers, adhesive within a solvent base. Labelled as per requirements of the CLP Regulations.</w:t>
              <w:br/>
              <w:t>Small amounts (&lt;5ltr) are used at site/premises (but not left on site).</w:t>
              <w:br/>
            </w:r>
          </w:p>
        </w:tc>
      </w:tr>
    </w:tbl>
    <w:p w14:paraId="13F8F3DD" w14:textId="77777777" w:rsidR="00636B3D" w:rsidRDefault="00636B3D"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F5374" w14:paraId="0F08FEA3" w14:textId="77777777" w:rsidTr="00140227">
        <w:trPr>
          <w:trHeight w:val="340"/>
        </w:trPr>
        <w:tc>
          <w:tcPr>
            <w:tcW w:w="9016" w:type="dxa"/>
            <w:shd w:val="clear" w:color="auto" w:fill="D9D9D9" w:themeFill="background1" w:themeFillShade="D9"/>
            <w:vAlign w:val="center"/>
          </w:tcPr>
          <w:p>
            <w:r>
              <w:t xml:space="preserve">Hazards &amp; consequences                                   </w:t>
            </w:r>
          </w:p>
        </w:tc>
      </w:tr>
      <w:tr w:rsidR="00DF5374" w14:paraId="26A30FFD" w14:textId="77777777" w:rsidTr="00140227">
        <w:tc>
          <w:tcPr>
            <w:tcW w:w="9016" w:type="dxa"/>
          </w:tcPr>
          <w:p>
            <w:r>
              <w:br/>
              <w:t xml:space="preserve">Principal hazard is fire – this may cause operatives to be burned, but more likely is that they will be overcome or injured by the inhalation of hot gas, smoke and/or toxic fumes from the combustion reaction. There may also be a large amount of property damage associated with any fire and injury can occur as a result of impact from falling material or impact from projectiles propelled by explosion. </w:t>
              <w:br/>
              <w:t>Firefighting – operatives may be at risk of burns or other physical injury if they are tempted into firefighting activities in the event of a fire.</w:t>
              <w:br/>
              <w:t xml:space="preserve">Dermatitis – skin contact for prolonged periods may cause reactions in most people. There are a small number of people who have allergic reactions to short contact with either petrol or diesel. </w:t>
              <w:br/>
            </w:r>
          </w:p>
        </w:tc>
      </w:tr>
    </w:tbl>
    <w:p w14:paraId="58A91D33" w14:textId="77777777" w:rsidR="00DF5374" w:rsidRDefault="00DF5374"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15913CE9" w14:textId="77777777" w:rsidTr="00F655C7">
        <w:trPr>
          <w:trHeight w:val="340"/>
        </w:trPr>
        <w:tc>
          <w:tcPr>
            <w:tcW w:w="9016" w:type="dxa"/>
            <w:shd w:val="clear" w:color="auto" w:fill="D9D9D9" w:themeFill="background1" w:themeFillShade="D9"/>
            <w:vAlign w:val="center"/>
          </w:tcPr>
          <w:p>
            <w:r>
              <w:t>Tools &amp; equipment used</w:t>
            </w:r>
          </w:p>
        </w:tc>
      </w:tr>
      <w:tr w:rsidR="004B23A7" w14:paraId="6846B140" w14:textId="77777777" w:rsidTr="00F655C7">
        <w:trPr>
          <w:trHeight w:val="664"/>
        </w:trPr>
        <w:tc>
          <w:tcPr>
            <w:tcW w:w="9016" w:type="dxa"/>
          </w:tcPr>
          <w:p>
            <w:r>
              <w:br/>
              <w:t>Flame-proof approved carrying and filling containers up to 5 litres (suitable for vehicle carriage).</w:t>
              <w:br/>
              <w:t xml:space="preserve">Petrol tanks on vehicles and plant (MEWPS). </w:t>
              <w:br/>
            </w:r>
          </w:p>
        </w:tc>
      </w:tr>
    </w:tbl>
    <w:p w14:paraId="7B0ACDAC" w14:textId="77777777" w:rsidR="001E02B9" w:rsidRDefault="001E02B9"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3EF9D157" w14:textId="77777777" w:rsidTr="00F655C7">
        <w:trPr>
          <w:trHeight w:val="340"/>
        </w:trPr>
        <w:tc>
          <w:tcPr>
            <w:tcW w:w="9016" w:type="dxa"/>
            <w:shd w:val="clear" w:color="auto" w:fill="D9D9D9" w:themeFill="background1" w:themeFillShade="D9"/>
            <w:vAlign w:val="center"/>
          </w:tcPr>
          <w:p>
            <w:r>
              <w:t>Persons likely to be exposed to the risk</w:t>
            </w:r>
          </w:p>
        </w:tc>
      </w:tr>
      <w:tr w:rsidR="004B23A7" w14:paraId="00D2EF27" w14:textId="77777777" w:rsidTr="00F655C7">
        <w:trPr>
          <w:trHeight w:val="808"/>
        </w:trPr>
        <w:tc>
          <w:tcPr>
            <w:tcW w:w="9016" w:type="dxa"/>
          </w:tcPr>
          <w:p>
            <w:r>
              <w:br/>
              <w:t>Operatives directly involved with the work on site/premises – when product is being used (intermittent).</w:t>
              <w:br/>
              <w:t>Any person in the area.</w:t>
              <w:br/>
            </w:r>
          </w:p>
        </w:tc>
      </w:tr>
    </w:tbl>
    <w:p w14:paraId="10465B36" w14:textId="77777777" w:rsidR="00C452F4" w:rsidRDefault="00C452F4" w:rsidP="001A3680">
      <w:pPr>
        <w:spacing w:after="0"/>
        <w:rPr>
          <w:rFonts w:ascii="Arial"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1A27D5" w:rsidRPr="00E568B3" w14:paraId="7F933C69" w14:textId="77777777" w:rsidTr="00064B9B">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r>
              <w:t>Without controls and precautions in place</w:t>
            </w:r>
          </w:p>
        </w:tc>
      </w:tr>
      <w:tr w:rsidR="001A27D5" w:rsidRPr="001A3680" w14:paraId="22903BA3" w14:textId="77777777" w:rsidTr="00064B9B">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auto"/>
            <w:hideMark/>
          </w:tcPr>
          <w:p>
            <w:r>
              <w:t>3</w:t>
              <w:br/>
            </w:r>
          </w:p>
        </w:tc>
        <w:tc>
          <w:tcPr>
            <w:tcW w:w="699" w:type="pct"/>
            <w:tcBorders>
              <w:top w:val="single" w:sz="12" w:space="0" w:color="auto"/>
              <w:left w:val="single" w:sz="6" w:space="0" w:color="auto"/>
              <w:bottom w:val="single" w:sz="6" w:space="0" w:color="auto"/>
              <w:right w:val="single" w:sz="4" w:space="0" w:color="auto"/>
            </w:tcBorders>
            <w:shd w:val="clear" w:color="auto" w:fill="FF0000"/>
            <w:hideMark/>
          </w:tcPr>
          <w:p>
            <w:r>
              <w:t>4</w:t>
              <w:br/>
              <w:t>X</w:t>
            </w:r>
          </w:p>
        </w:tc>
        <w:tc>
          <w:tcPr>
            <w:tcW w:w="725" w:type="pct"/>
            <w:tcBorders>
              <w:top w:val="single" w:sz="12" w:space="0" w:color="auto"/>
              <w:left w:val="single" w:sz="4" w:space="0" w:color="auto"/>
              <w:bottom w:val="single" w:sz="4" w:space="0" w:color="auto"/>
              <w:right w:val="single" w:sz="12" w:space="0" w:color="auto"/>
            </w:tcBorders>
          </w:tcPr>
          <w:p>
            <w:r>
              <w:t>5</w:t>
              <w:br/>
            </w:r>
          </w:p>
        </w:tc>
      </w:tr>
      <w:tr w:rsidR="001A27D5" w:rsidRPr="001A3680" w14:paraId="45D786AD" w14:textId="77777777" w:rsidTr="00F655C7">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tcPr>
          <w:p>
            <w:r>
              <w:t>3</w:t>
              <w:br/>
            </w:r>
          </w:p>
        </w:tc>
        <w:tc>
          <w:tcPr>
            <w:tcW w:w="699" w:type="pct"/>
            <w:tcBorders>
              <w:top w:val="single" w:sz="6" w:space="0" w:color="auto"/>
              <w:left w:val="single" w:sz="6" w:space="0" w:color="auto"/>
              <w:bottom w:val="single" w:sz="12" w:space="0" w:color="auto"/>
              <w:right w:val="single" w:sz="4" w:space="0" w:color="auto"/>
            </w:tcBorders>
            <w:shd w:val="clear" w:color="auto" w:fill="FF0000"/>
            <w:hideMark/>
          </w:tcPr>
          <w:p>
            <w:r>
              <w:t>4</w:t>
              <w:br/>
              <w:t>X</w:t>
            </w:r>
          </w:p>
        </w:tc>
        <w:tc>
          <w:tcPr>
            <w:tcW w:w="725" w:type="pct"/>
            <w:tcBorders>
              <w:top w:val="single" w:sz="4" w:space="0" w:color="auto"/>
              <w:left w:val="single" w:sz="4" w:space="0" w:color="auto"/>
              <w:bottom w:val="single" w:sz="12" w:space="0" w:color="auto"/>
              <w:right w:val="single" w:sz="12" w:space="0" w:color="auto"/>
            </w:tcBorders>
            <w:shd w:val="clear" w:color="auto" w:fill="auto"/>
            <w:hideMark/>
          </w:tcPr>
          <w:p>
            <w:r>
              <w:t>5</w:t>
              <w:br/>
            </w:r>
          </w:p>
        </w:tc>
      </w:tr>
      <w:tr w:rsidR="001A27D5" w:rsidRPr="001A3680" w14:paraId="720559E7" w14:textId="77777777" w:rsidTr="00F655C7">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CB6EBD" w:rsidRPr="001A3680" w14:paraId="560B203F" w14:textId="77777777" w:rsidTr="00F655C7">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16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0000"/>
            <w:vAlign w:val="center"/>
          </w:tcPr>
          <w:p>
            <w:r>
              <w:t>High</w:t>
            </w:r>
          </w:p>
        </w:tc>
        <w:tc>
          <w:tcPr>
            <w:tcW w:w="2124" w:type="pct"/>
            <w:gridSpan w:val="3"/>
            <w:tcBorders>
              <w:left w:val="single" w:sz="12" w:space="0" w:color="auto"/>
            </w:tcBorders>
            <w:vAlign w:val="center"/>
          </w:tcPr>
          <w:p>
            <w:r/>
          </w:p>
        </w:tc>
      </w:tr>
      <w:tr w:rsidR="009D73E2" w:rsidRPr="001A3680" w14:paraId="5C4EAD2C" w14:textId="77777777" w:rsidTr="00CB6EBD">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9D73E2" w:rsidRPr="001A3680" w14:paraId="3C2F3E93" w14:textId="77777777" w:rsidTr="00F655C7">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3" w:type="pct"/>
            <w:gridSpan w:val="5"/>
            <w:tcBorders>
              <w:left w:val="single" w:sz="12" w:space="0" w:color="auto"/>
            </w:tcBorders>
            <w:vAlign w:val="center"/>
          </w:tcPr>
          <w:p>
            <w:r/>
          </w:p>
        </w:tc>
      </w:tr>
    </w:tbl>
    <w:p w14:paraId="7EAC0301" w14:textId="00614E29" w:rsidR="008F180C" w:rsidRDefault="008F180C" w:rsidP="001A3680">
      <w:pPr>
        <w:spacing w:after="0"/>
        <w:rPr>
          <w:rFonts w:ascii="Arial" w:hAnsi="Arial" w:cs="Arial"/>
          <w:sz w:val="20"/>
          <w:szCs w:val="20"/>
        </w:rPr>
      </w:pPr>
    </w:p>
    <w:p w14:paraId="30003D0F" w14:textId="28A9C76B" w:rsidR="00104375" w:rsidRDefault="00104375" w:rsidP="001A3680">
      <w:pPr>
        <w:spacing w:after="0"/>
        <w:rPr>
          <w:rFonts w:ascii="Arial" w:hAnsi="Arial" w:cs="Arial"/>
          <w:sz w:val="20"/>
          <w:szCs w:val="20"/>
        </w:rPr>
      </w:pPr>
    </w:p>
    <w:p w14:paraId="14540B65" w14:textId="2FDBDCF1" w:rsidR="008752C5" w:rsidRDefault="008752C5" w:rsidP="001A3680">
      <w:pPr>
        <w:spacing w:after="0"/>
        <w:rPr>
          <w:rFonts w:ascii="Arial" w:hAnsi="Arial" w:cs="Arial"/>
          <w:sz w:val="20"/>
          <w:szCs w:val="20"/>
        </w:rPr>
      </w:pPr>
    </w:p>
    <w:p w14:paraId="20B7E2DE" w14:textId="77777777" w:rsidR="00B348D1" w:rsidRDefault="00B348D1" w:rsidP="001A3680">
      <w:pPr>
        <w:spacing w:after="0"/>
        <w:rPr>
          <w:rFonts w:ascii="Arial" w:hAnsi="Arial" w:cs="Arial"/>
          <w:sz w:val="20"/>
          <w:szCs w:val="20"/>
        </w:rPr>
      </w:pPr>
    </w:p>
    <w:p w14:paraId="21CEBF99" w14:textId="77777777" w:rsidR="008752C5" w:rsidRDefault="008752C5" w:rsidP="001A3680">
      <w:pPr>
        <w:spacing w:after="0"/>
        <w:rPr>
          <w:rFonts w:ascii="Arial" w:hAnsi="Arial" w:cs="Arial"/>
          <w:sz w:val="20"/>
          <w:szCs w:val="20"/>
        </w:rPr>
      </w:pPr>
    </w:p>
    <w:p w14:paraId="302828DC" w14:textId="77777777" w:rsidR="00104375" w:rsidRDefault="00104375"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rsidRPr="004B23A7" w14:paraId="49EF434A" w14:textId="77777777" w:rsidTr="00F655C7">
        <w:trPr>
          <w:trHeight w:val="340"/>
        </w:trPr>
        <w:tc>
          <w:tcPr>
            <w:tcW w:w="9016" w:type="dxa"/>
            <w:shd w:val="clear" w:color="auto" w:fill="D9D9D9" w:themeFill="background1" w:themeFillShade="D9"/>
            <w:vAlign w:val="center"/>
          </w:tcPr>
          <w:p>
            <w:r>
              <w:t>Control measures</w:t>
            </w:r>
          </w:p>
        </w:tc>
      </w:tr>
      <w:tr w:rsidR="004B23A7" w:rsidRPr="004B23A7" w14:paraId="6890F6AC" w14:textId="77777777" w:rsidTr="00F655C7">
        <w:trPr>
          <w:trHeight w:val="808"/>
        </w:trPr>
        <w:tc>
          <w:tcPr>
            <w:tcW w:w="9016" w:type="dxa"/>
          </w:tcPr>
          <w:p>
            <w:r>
              <w:br/>
              <w:t>Products to be placed in clearly identified and labelled containers – as supplied.</w:t>
              <w:br/>
              <w:t>Warning and no smoking signs posted to the flammable store area (as per Signs and Signals Regulations).</w:t>
              <w:br/>
              <w:t>Flammable liquids not left on site/premises.</w:t>
              <w:br/>
              <w:t>Regulation flameproof storage and transport containers only to be used (in appropriate colour code e.g. green unleaded petrol). Plastic containers should not be used for quantities of more than 10 litres.</w:t>
              <w:br/>
              <w:t xml:space="preserve">Fuel containers in good condition must be kept in a well-ventilated, lockable store, preferably outside the work area/building. </w:t>
              <w:br/>
              <w:t>Fuel containers must be kept in good condition and securely closed and in the correct storage position when refuelling NOT taking place.</w:t>
              <w:br/>
              <w:t>No smoking in any work areas (where containers are open or substance/material is in use) with supervisory enforcement and disciplinary action as appropriate.</w:t>
              <w:br/>
              <w:t>Suitable fire extinguishers or other extinguishing equipment (fire blankets) are located close to the point of works or stores areas and operatives are trained in their use.</w:t>
              <w:br/>
              <w:t>No hot work or sparking electrical equipment allowed in the work areas, when product is in use or containers open.</w:t>
              <w:br/>
              <w:t>No use of equipment producing a spark or similar in area.</w:t>
              <w:br/>
              <w:t>Avoidance of the use of naked flames in areas of use or storage.</w:t>
              <w:br/>
              <w:t>Operatives are informed of the dangers associated with flammable liquids and dangers should a fire occur.</w:t>
              <w:br/>
              <w:t>Operatives are instructed in the actions to take in the event of a fire - see fire risk assessment.</w:t>
              <w:br/>
              <w:t>Dermatitis - operatives to observe personal hygiene when handling fuels. That is to wash hands with soap and water after every handling activity. When handling diesel, if available, thin plastic disposable gloves should be used that are suitable for handling diesel i.e. similar to those on service station forecourts.</w:t>
              <w:br/>
              <w:t>Housekeeping in all areas and avoidance of any flammable material in areas of use or storage.</w:t>
              <w:br/>
              <w:br/>
              <w:t>Note: Diesel has a low risk of fire unless heated or in vaporised state and in the circumstances of use in this company is unlikely.</w:t>
              <w:br/>
            </w:r>
          </w:p>
        </w:tc>
      </w:tr>
    </w:tbl>
    <w:p w14:paraId="24E85FD5" w14:textId="77777777" w:rsidR="00775D92" w:rsidRDefault="00775D92"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E568B3" w:rsidRPr="004B23A7" w14:paraId="1AB8FBE0" w14:textId="77777777" w:rsidTr="003D5B06">
        <w:trPr>
          <w:trHeight w:val="340"/>
        </w:trPr>
        <w:tc>
          <w:tcPr>
            <w:tcW w:w="8996" w:type="dxa"/>
            <w:shd w:val="clear" w:color="auto" w:fill="D9D9D9" w:themeFill="background1" w:themeFillShade="D9"/>
            <w:vAlign w:val="center"/>
          </w:tcPr>
          <w:p>
            <w:r>
              <w:t>Comments</w:t>
            </w:r>
          </w:p>
        </w:tc>
      </w:tr>
      <w:tr w:rsidR="00E568B3" w:rsidRPr="004B23A7" w14:paraId="097A8C55" w14:textId="77777777" w:rsidTr="003D5B06">
        <w:trPr>
          <w:trHeight w:val="579"/>
        </w:trPr>
        <w:tc>
          <w:tcPr>
            <w:tcW w:w="8996" w:type="dxa"/>
          </w:tcPr>
          <w:p>
            <w:r>
              <w:br/>
              <w:t>Other information such as procedures, if required, to be attached separately.</w:t>
              <w:br/>
            </w:r>
          </w:p>
        </w:tc>
      </w:tr>
    </w:tbl>
    <w:p w14:paraId="0B5E81A7" w14:textId="77777777" w:rsidR="00C452F4" w:rsidRDefault="00C452F4" w:rsidP="001A3680">
      <w:pPr>
        <w:spacing w:after="0"/>
        <w:rPr>
          <w:rFonts w:ascii="Arial" w:hAnsi="Arial" w:cs="Arial"/>
          <w:sz w:val="20"/>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E568B3" w:rsidRPr="001A3680" w14:paraId="33C5A260" w14:textId="77777777" w:rsidTr="008F180C">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r>
              <w:t>With controls and precautions in place</w:t>
            </w:r>
          </w:p>
        </w:tc>
      </w:tr>
      <w:tr w:rsidR="001A3680" w:rsidRPr="001A3680" w14:paraId="1F4D799F" w14:textId="77777777" w:rsidTr="008F180C">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1A3680" w:rsidRPr="001A3680" w14:paraId="3FFBC140" w14:textId="77777777" w:rsidTr="008F180C">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r>
              <w:t>3</w:t>
              <w:br/>
              <w:t>X</w:t>
            </w:r>
          </w:p>
        </w:tc>
        <w:tc>
          <w:tcPr>
            <w:tcW w:w="703" w:type="pct"/>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BA6F01" w:rsidRPr="001A3680" w14:paraId="4810C7B1" w14:textId="77777777" w:rsidTr="008F180C">
        <w:trPr>
          <w:cantSplit/>
        </w:trPr>
        <w:tc>
          <w:tcPr>
            <w:tcW w:w="1481" w:type="pct"/>
            <w:gridSpan w:val="2"/>
            <w:tcBorders>
              <w:top w:val="single" w:sz="12" w:space="0" w:color="auto"/>
            </w:tcBorders>
            <w:vAlign w:val="center"/>
          </w:tcPr>
          <w:p>
            <w:r/>
          </w:p>
        </w:tc>
        <w:tc>
          <w:tcPr>
            <w:tcW w:w="3519" w:type="pct"/>
            <w:gridSpan w:val="5"/>
            <w:tcBorders>
              <w:top w:val="single" w:sz="12" w:space="0" w:color="auto"/>
            </w:tcBorders>
            <w:vAlign w:val="center"/>
          </w:tcPr>
          <w:p>
            <w:r/>
          </w:p>
        </w:tc>
      </w:tr>
      <w:tr w:rsidR="00CB6EBD" w:rsidRPr="001A3680" w14:paraId="53E0E71F" w14:textId="77777777" w:rsidTr="008F180C">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6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7" w:type="pct"/>
            <w:gridSpan w:val="2"/>
            <w:tcBorders>
              <w:left w:val="nil"/>
            </w:tcBorders>
            <w:vAlign w:val="center"/>
          </w:tcPr>
          <w:p>
            <w:r/>
          </w:p>
        </w:tc>
      </w:tr>
      <w:tr w:rsidR="00BA6F01" w:rsidRPr="001A3680" w14:paraId="4894370C" w14:textId="77777777" w:rsidTr="0028078D">
        <w:trPr>
          <w:cantSplit/>
        </w:trPr>
        <w:tc>
          <w:tcPr>
            <w:tcW w:w="5000" w:type="pct"/>
            <w:gridSpan w:val="7"/>
            <w:vAlign w:val="center"/>
          </w:tcPr>
          <w:p>
            <w:r/>
          </w:p>
        </w:tc>
      </w:tr>
      <w:tr w:rsidR="0028078D" w:rsidRPr="001A3680" w14:paraId="403AD5BA" w14:textId="77777777" w:rsidTr="008F180C">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6" w:type="pct"/>
            <w:gridSpan w:val="4"/>
            <w:tcBorders>
              <w:left w:val="single" w:sz="12" w:space="0" w:color="auto"/>
            </w:tcBorders>
            <w:vAlign w:val="center"/>
          </w:tcPr>
          <w:p>
            <w:r/>
          </w:p>
        </w:tc>
      </w:tr>
      <w:tr w:rsidR="00E568B3" w:rsidRPr="001A3680" w14:paraId="4A51DC87" w14:textId="77777777" w:rsidTr="00F655C7">
        <w:trPr>
          <w:cantSplit/>
        </w:trPr>
        <w:tc>
          <w:tcPr>
            <w:tcW w:w="5000" w:type="pct"/>
            <w:gridSpan w:val="7"/>
            <w:tcBorders>
              <w:bottom w:val="single" w:sz="12" w:space="0" w:color="auto"/>
            </w:tcBorders>
            <w:vAlign w:val="center"/>
          </w:tcPr>
          <w:p>
            <w:r/>
          </w:p>
        </w:tc>
      </w:tr>
      <w:tr w:rsidR="008F180C" w:rsidRPr="0089385E" w14:paraId="1D3BB158" w14:textId="77777777" w:rsidTr="00572942">
        <w:trPr>
          <w:cantSplit/>
          <w:trHeight w:val="986"/>
        </w:trPr>
        <w:tc>
          <w:tcPr>
            <w:tcW w:w="655"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r>
              <w:t>Signed</w:t>
            </w:r>
          </w:p>
        </w:tc>
        <w:tc>
          <w:tcPr>
            <w:tcW w:w="1408"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160F4068" w14:textId="77777777" w:rsidR="001A3680" w:rsidRPr="001A3680" w:rsidRDefault="001A3680" w:rsidP="00C6104A">
      <w:pPr>
        <w:spacing w:after="0"/>
        <w:rPr>
          <w:rFonts w:ascii="Arial" w:hAnsi="Arial" w:cs="Arial"/>
          <w:sz w:val="20"/>
          <w:szCs w:val="20"/>
        </w:rPr>
      </w:pPr>
    </w:p>
    <w:sectPr w:rsidR="001A3680" w:rsidRPr="001A3680" w:rsidSect="00140AB0">
      <w:headerReference w:type="default" r:id="rId12"/>
      <w:footerReference w:type="default" r:id="rId13"/>
      <w:pgSz w:w="11906" w:h="16838"/>
      <w:pgMar w:top="1440" w:right="1440" w:bottom="1440"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709ED" w14:textId="77777777" w:rsidR="00352C2F" w:rsidRDefault="00352C2F" w:rsidP="001A3680">
      <w:pPr>
        <w:spacing w:after="0" w:line="240" w:lineRule="auto"/>
      </w:pPr>
      <w:r>
        <w:separator/>
      </w:r>
    </w:p>
  </w:endnote>
  <w:endnote w:type="continuationSeparator" w:id="0">
    <w:p w14:paraId="2B6C86D0" w14:textId="77777777" w:rsidR="00352C2F" w:rsidRDefault="00352C2F" w:rsidP="001A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140AB0" w:rsidRPr="00CD29A2" w14:paraId="384775C5" w14:textId="77777777" w:rsidTr="00E861B5">
      <w:trPr>
        <w:trHeight w:val="558"/>
      </w:trPr>
      <w:tc>
        <w:tcPr>
          <w:tcW w:w="3823" w:type="dxa"/>
          <w:tcBorders>
            <w:right w:val="single" w:sz="4" w:space="0" w:color="FFFFFF" w:themeColor="background1"/>
          </w:tcBorders>
          <w:shd w:val="clear" w:color="auto" w:fill="34A7AF"/>
          <w:vAlign w:val="center"/>
        </w:tcPr>
        <w:p w14:paraId="249D305C" w14:textId="77777777" w:rsidR="00140AB0" w:rsidRPr="00CD29A2" w:rsidRDefault="00140AB0" w:rsidP="00140AB0">
          <w:pPr>
            <w:rPr>
              <w:rFonts w:ascii="Arial" w:hAnsi="Arial" w:cs="Arial"/>
              <w:b/>
              <w:color w:val="FFFFFF"/>
              <w:sz w:val="20"/>
              <w:szCs w:val="20"/>
            </w:rPr>
          </w:pPr>
          <w:r>
            <w:rPr>
              <w:rFonts w:ascii="Arial" w:hAnsi="Arial" w:cs="Arial"/>
              <w:b/>
              <w:color w:val="FFFFFF"/>
              <w:sz w:val="20"/>
              <w:szCs w:val="20"/>
            </w:rPr>
            <w:t>Risk Assessment</w:t>
          </w:r>
        </w:p>
      </w:tc>
      <w:tc>
        <w:tcPr>
          <w:tcW w:w="850" w:type="dxa"/>
          <w:tcBorders>
            <w:left w:val="single" w:sz="4" w:space="0" w:color="FFFFFF" w:themeColor="background1"/>
            <w:right w:val="single" w:sz="4" w:space="0" w:color="FFFFFF" w:themeColor="background1"/>
          </w:tcBorders>
          <w:shd w:val="clear" w:color="auto" w:fill="34A7AF"/>
          <w:vAlign w:val="center"/>
        </w:tcPr>
        <w:p>
          <w:r>
            <w:t>123</w:t>
          </w:r>
        </w:p>
      </w:tc>
      <w:tc>
        <w:tcPr>
          <w:tcW w:w="683" w:type="dxa"/>
          <w:tcBorders>
            <w:left w:val="single" w:sz="4" w:space="0" w:color="FFFFFF" w:themeColor="background1"/>
            <w:right w:val="single" w:sz="4" w:space="0" w:color="FFFFFF" w:themeColor="background1"/>
          </w:tcBorders>
          <w:shd w:val="clear" w:color="auto" w:fill="34A7AF"/>
          <w:vAlign w:val="center"/>
        </w:tcPr>
        <w:p w14:paraId="7ED75C4D" w14:textId="77777777" w:rsidR="00140AB0" w:rsidRPr="00CD29A2" w:rsidRDefault="00140AB0" w:rsidP="00140AB0">
          <w:pPr>
            <w:rPr>
              <w:rFonts w:ascii="Arial" w:hAnsi="Arial" w:cs="Arial"/>
              <w:b/>
              <w:color w:val="FFFFFF" w:themeColor="background1"/>
              <w:sz w:val="20"/>
              <w:szCs w:val="20"/>
            </w:rPr>
          </w:pPr>
          <w:r w:rsidRPr="00CD29A2">
            <w:rPr>
              <w:rFonts w:ascii="Arial" w:hAnsi="Arial" w:cs="Arial"/>
              <w:b/>
              <w:color w:val="FFFFFF" w:themeColor="background1"/>
              <w:sz w:val="20"/>
              <w:szCs w:val="20"/>
            </w:rPr>
            <w:t>Date</w:t>
          </w:r>
        </w:p>
      </w:tc>
      <w:tc>
        <w:tcPr>
          <w:tcW w:w="884" w:type="dxa"/>
          <w:tcBorders>
            <w:left w:val="single" w:sz="4" w:space="0" w:color="FFFFFF" w:themeColor="background1"/>
            <w:right w:val="single" w:sz="4" w:space="0" w:color="FFFFFF" w:themeColor="background1"/>
          </w:tcBorders>
          <w:shd w:val="clear" w:color="auto" w:fill="34A7AF"/>
          <w:vAlign w:val="center"/>
        </w:tcPr>
        <w:p>
          <w:r>
            <w:t>2023-10-17</w:t>
          </w:r>
        </w:p>
      </w:tc>
      <w:tc>
        <w:tcPr>
          <w:tcW w:w="993" w:type="dxa"/>
          <w:tcBorders>
            <w:left w:val="single" w:sz="4" w:space="0" w:color="FFFFFF" w:themeColor="background1"/>
            <w:right w:val="single" w:sz="4" w:space="0" w:color="FFFFFF" w:themeColor="background1"/>
          </w:tcBorders>
          <w:shd w:val="clear" w:color="auto" w:fill="34A7AF"/>
          <w:vAlign w:val="center"/>
        </w:tcPr>
        <w:p w14:paraId="4F0D2A3C" w14:textId="77777777" w:rsidR="00140AB0" w:rsidRPr="00CD29A2" w:rsidRDefault="00140AB0" w:rsidP="00140AB0">
          <w:pPr>
            <w:rPr>
              <w:rFonts w:ascii="Arial" w:hAnsi="Arial" w:cs="Arial"/>
              <w:b/>
              <w:color w:val="FFFFFF" w:themeColor="background1"/>
              <w:sz w:val="20"/>
              <w:szCs w:val="20"/>
            </w:rPr>
          </w:pPr>
          <w:r w:rsidRPr="00CD29A2">
            <w:rPr>
              <w:rFonts w:ascii="Arial" w:hAnsi="Arial" w:cs="Arial"/>
              <w:b/>
              <w:color w:val="FFFFFF" w:themeColor="background1"/>
              <w:sz w:val="20"/>
              <w:szCs w:val="20"/>
            </w:rPr>
            <w:t xml:space="preserve">Version </w:t>
          </w:r>
        </w:p>
      </w:tc>
      <w:tc>
        <w:tcPr>
          <w:tcW w:w="424" w:type="dxa"/>
          <w:tcBorders>
            <w:left w:val="single" w:sz="4" w:space="0" w:color="FFFFFF" w:themeColor="background1"/>
            <w:right w:val="single" w:sz="4" w:space="0" w:color="FFFFFF" w:themeColor="background1"/>
          </w:tcBorders>
          <w:shd w:val="clear" w:color="auto" w:fill="34A7AF"/>
          <w:vAlign w:val="center"/>
        </w:tcPr>
        <w:p w14:paraId="471A0CAC" w14:textId="77777777" w:rsidR="00140AB0" w:rsidRPr="00CD29A2" w:rsidRDefault="00140AB0" w:rsidP="00140AB0">
          <w:pPr>
            <w:rPr>
              <w:rFonts w:ascii="Arial" w:hAnsi="Arial" w:cs="Arial"/>
              <w:b/>
              <w:color w:val="FFFFFF" w:themeColor="background1"/>
              <w:sz w:val="20"/>
              <w:szCs w:val="20"/>
            </w:rPr>
          </w:pPr>
          <w:r w:rsidRPr="00CD29A2">
            <w:rPr>
              <w:rFonts w:ascii="Arial" w:hAnsi="Arial" w:cs="Arial"/>
              <w:b/>
              <w:color w:val="FFFFFF" w:themeColor="background1"/>
              <w:sz w:val="20"/>
              <w:szCs w:val="20"/>
            </w:rPr>
            <w:t>1</w:t>
          </w:r>
        </w:p>
      </w:tc>
      <w:tc>
        <w:tcPr>
          <w:tcW w:w="1359" w:type="dxa"/>
          <w:tcBorders>
            <w:left w:val="single" w:sz="4" w:space="0" w:color="FFFFFF" w:themeColor="background1"/>
          </w:tcBorders>
          <w:shd w:val="clear" w:color="auto" w:fill="34A7AF"/>
          <w:vAlign w:val="center"/>
        </w:tcPr>
        <w:p w14:paraId="4D650A42" w14:textId="77777777" w:rsidR="00140AB0" w:rsidRPr="00CD29A2" w:rsidRDefault="00140AB0" w:rsidP="00140AB0">
          <w:pPr>
            <w:jc w:val="right"/>
            <w:rPr>
              <w:rFonts w:ascii="Arial" w:hAnsi="Arial" w:cs="Arial"/>
              <w:sz w:val="20"/>
              <w:szCs w:val="20"/>
            </w:rPr>
          </w:pPr>
          <w:r w:rsidRPr="00CD29A2">
            <w:rPr>
              <w:rFonts w:ascii="Arial" w:hAnsi="Arial" w:cs="Arial"/>
              <w:b/>
              <w:color w:val="FFFFFF"/>
              <w:sz w:val="20"/>
              <w:szCs w:val="20"/>
            </w:rPr>
            <w:t xml:space="preserve">Page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PAGE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1</w:t>
          </w:r>
          <w:r w:rsidRPr="00CD29A2">
            <w:rPr>
              <w:rFonts w:ascii="Arial" w:hAnsi="Arial" w:cs="Arial"/>
              <w:b/>
              <w:bCs/>
              <w:color w:val="FFFFFF"/>
              <w:sz w:val="20"/>
              <w:szCs w:val="20"/>
            </w:rPr>
            <w:fldChar w:fldCharType="end"/>
          </w:r>
          <w:r w:rsidRPr="00CD29A2">
            <w:rPr>
              <w:rFonts w:ascii="Arial" w:hAnsi="Arial" w:cs="Arial"/>
              <w:b/>
              <w:color w:val="FFFFFF"/>
              <w:sz w:val="20"/>
              <w:szCs w:val="20"/>
            </w:rPr>
            <w:t xml:space="preserve"> of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NUMPAGES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6</w:t>
          </w:r>
          <w:r w:rsidRPr="00CD29A2">
            <w:rPr>
              <w:rFonts w:ascii="Arial" w:hAnsi="Arial" w:cs="Arial"/>
              <w:b/>
              <w:bCs/>
              <w:color w:val="FFFFFF"/>
              <w:sz w:val="20"/>
              <w:szCs w:val="20"/>
            </w:rPr>
            <w:fldChar w:fldCharType="end"/>
          </w:r>
        </w:p>
      </w:tc>
    </w:tr>
  </w:tbl>
  <w:p w14:paraId="4B395CDB" w14:textId="77777777" w:rsidR="001A3680" w:rsidRPr="001A3680" w:rsidRDefault="001A3680" w:rsidP="00E937EF">
    <w:pPr>
      <w:pStyle w:val="Footer"/>
      <w:tabs>
        <w:tab w:val="right" w:pos="9639"/>
      </w:tabs>
      <w:jc w:val="right"/>
      <w:rPr>
        <w:rFonts w:ascii="Arial" w:hAnsi="Arial" w:cs="Arial"/>
        <w:sz w:val="20"/>
      </w:rPr>
    </w:pPr>
    <w:r w:rsidRPr="001A3680">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215DA" w14:textId="77777777" w:rsidR="00352C2F" w:rsidRDefault="00352C2F" w:rsidP="001A3680">
      <w:pPr>
        <w:spacing w:after="0" w:line="240" w:lineRule="auto"/>
      </w:pPr>
      <w:r>
        <w:separator/>
      </w:r>
    </w:p>
  </w:footnote>
  <w:footnote w:type="continuationSeparator" w:id="0">
    <w:p w14:paraId="41721F56" w14:textId="77777777" w:rsidR="00352C2F" w:rsidRDefault="00352C2F" w:rsidP="001A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1082" w14:textId="6686D67C" w:rsidR="001A3680" w:rsidRPr="001A3680" w:rsidRDefault="00E861B5" w:rsidP="001A3680">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5DDF4131" wp14:editId="65D8331B">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645" y="0"/>
              <wp:lineTo x="0" y="0"/>
              <wp:lineTo x="0" y="5374"/>
              <wp:lineTo x="687" y="13052"/>
              <wp:lineTo x="3437" y="20730"/>
              <wp:lineTo x="3666" y="20730"/>
              <wp:lineTo x="5958" y="20730"/>
              <wp:lineTo x="8936" y="20730"/>
              <wp:lineTo x="18331" y="14588"/>
              <wp:lineTo x="18331" y="12284"/>
              <wp:lineTo x="21310" y="9213"/>
              <wp:lineTo x="21310" y="768"/>
              <wp:lineTo x="19018" y="0"/>
              <wp:lineTo x="6645"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456B">
      <w:rPr>
        <w:rFonts w:ascii="Arial" w:hAnsi="Arial" w:cs="Arial"/>
        <w:b/>
        <w:sz w:val="32"/>
      </w:rPr>
      <w:t xml:space="preserve"> </w:t>
    </w:r>
    <w:r w:rsidR="001A3680" w:rsidRPr="001A3680">
      <w:rPr>
        <w:rFonts w:ascii="Arial" w:hAnsi="Arial" w:cs="Arial"/>
        <w:b/>
        <w:sz w:val="32"/>
      </w:rPr>
      <w:t>Risk Assessment</w:t>
    </w:r>
    <w:r w:rsidR="001A3430">
      <w:rPr>
        <w:rFonts w:ascii="Arial" w:hAnsi="Arial" w:cs="Arial"/>
        <w:b/>
        <w:sz w:val="32"/>
      </w:rPr>
      <w:tab/>
    </w:r>
    <w:r w:rsidR="001A3430">
      <w:rPr>
        <w:rFonts w:ascii="Arial" w:hAnsi="Arial" w:cs="Arial"/>
        <w:b/>
        <w:sz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CB"/>
    <w:multiLevelType w:val="hybridMultilevel"/>
    <w:tmpl w:val="73FAC1D4"/>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42" w:hanging="360"/>
      </w:pPr>
      <w:rPr>
        <w:rFonts w:ascii="Courier New" w:hAnsi="Courier New" w:hint="default"/>
      </w:rPr>
    </w:lvl>
    <w:lvl w:ilvl="2" w:tplc="04090005" w:tentative="1">
      <w:start w:val="1"/>
      <w:numFmt w:val="bullet"/>
      <w:lvlText w:val=""/>
      <w:lvlJc w:val="left"/>
      <w:pPr>
        <w:ind w:left="862" w:hanging="360"/>
      </w:pPr>
      <w:rPr>
        <w:rFonts w:ascii="Wingdings" w:hAnsi="Wingdings" w:hint="default"/>
      </w:rPr>
    </w:lvl>
    <w:lvl w:ilvl="3" w:tplc="04090001" w:tentative="1">
      <w:start w:val="1"/>
      <w:numFmt w:val="bullet"/>
      <w:lvlText w:val=""/>
      <w:lvlJc w:val="left"/>
      <w:pPr>
        <w:ind w:left="1582" w:hanging="360"/>
      </w:pPr>
      <w:rPr>
        <w:rFonts w:ascii="Symbol" w:hAnsi="Symbol" w:hint="default"/>
      </w:rPr>
    </w:lvl>
    <w:lvl w:ilvl="4" w:tplc="04090003" w:tentative="1">
      <w:start w:val="1"/>
      <w:numFmt w:val="bullet"/>
      <w:lvlText w:val="o"/>
      <w:lvlJc w:val="left"/>
      <w:pPr>
        <w:ind w:left="2302" w:hanging="360"/>
      </w:pPr>
      <w:rPr>
        <w:rFonts w:ascii="Courier New" w:hAnsi="Courier New" w:hint="default"/>
      </w:rPr>
    </w:lvl>
    <w:lvl w:ilvl="5" w:tplc="04090005" w:tentative="1">
      <w:start w:val="1"/>
      <w:numFmt w:val="bullet"/>
      <w:lvlText w:val=""/>
      <w:lvlJc w:val="left"/>
      <w:pPr>
        <w:ind w:left="3022" w:hanging="360"/>
      </w:pPr>
      <w:rPr>
        <w:rFonts w:ascii="Wingdings" w:hAnsi="Wingdings" w:hint="default"/>
      </w:rPr>
    </w:lvl>
    <w:lvl w:ilvl="6" w:tplc="04090001" w:tentative="1">
      <w:start w:val="1"/>
      <w:numFmt w:val="bullet"/>
      <w:lvlText w:val=""/>
      <w:lvlJc w:val="left"/>
      <w:pPr>
        <w:ind w:left="3742" w:hanging="360"/>
      </w:pPr>
      <w:rPr>
        <w:rFonts w:ascii="Symbol" w:hAnsi="Symbol" w:hint="default"/>
      </w:rPr>
    </w:lvl>
    <w:lvl w:ilvl="7" w:tplc="04090003" w:tentative="1">
      <w:start w:val="1"/>
      <w:numFmt w:val="bullet"/>
      <w:lvlText w:val="o"/>
      <w:lvlJc w:val="left"/>
      <w:pPr>
        <w:ind w:left="4462" w:hanging="360"/>
      </w:pPr>
      <w:rPr>
        <w:rFonts w:ascii="Courier New" w:hAnsi="Courier New" w:hint="default"/>
      </w:rPr>
    </w:lvl>
    <w:lvl w:ilvl="8" w:tplc="04090005" w:tentative="1">
      <w:start w:val="1"/>
      <w:numFmt w:val="bullet"/>
      <w:lvlText w:val=""/>
      <w:lvlJc w:val="left"/>
      <w:pPr>
        <w:ind w:left="5182" w:hanging="360"/>
      </w:pPr>
      <w:rPr>
        <w:rFonts w:ascii="Wingdings" w:hAnsi="Wingdings" w:hint="default"/>
      </w:rPr>
    </w:lvl>
  </w:abstractNum>
  <w:abstractNum w:abstractNumId="1" w15:restartNumberingAfterBreak="0">
    <w:nsid w:val="192B294A"/>
    <w:multiLevelType w:val="hybridMultilevel"/>
    <w:tmpl w:val="DF3227C4"/>
    <w:lvl w:ilvl="0" w:tplc="D2C08842">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76A9C"/>
    <w:multiLevelType w:val="hybridMultilevel"/>
    <w:tmpl w:val="FE8284FE"/>
    <w:lvl w:ilvl="0" w:tplc="786E8CC0">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C35CE7"/>
    <w:multiLevelType w:val="hybridMultilevel"/>
    <w:tmpl w:val="3EC0A9E0"/>
    <w:lvl w:ilvl="0" w:tplc="6B60ABAC">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96856"/>
    <w:multiLevelType w:val="hybridMultilevel"/>
    <w:tmpl w:val="121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E429C"/>
    <w:multiLevelType w:val="hybridMultilevel"/>
    <w:tmpl w:val="54B0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11520"/>
    <w:multiLevelType w:val="hybridMultilevel"/>
    <w:tmpl w:val="076E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EE0201"/>
    <w:multiLevelType w:val="hybridMultilevel"/>
    <w:tmpl w:val="35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71B06"/>
    <w:multiLevelType w:val="hybridMultilevel"/>
    <w:tmpl w:val="C9D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A747A"/>
    <w:multiLevelType w:val="hybridMultilevel"/>
    <w:tmpl w:val="16C868F0"/>
    <w:lvl w:ilvl="0" w:tplc="2E8E58B8">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FA3214"/>
    <w:multiLevelType w:val="hybridMultilevel"/>
    <w:tmpl w:val="BD6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3369D7"/>
    <w:multiLevelType w:val="hybridMultilevel"/>
    <w:tmpl w:val="34E0F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66022C"/>
    <w:multiLevelType w:val="hybridMultilevel"/>
    <w:tmpl w:val="0AB2A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AE6961"/>
    <w:multiLevelType w:val="hybridMultilevel"/>
    <w:tmpl w:val="D68C5E48"/>
    <w:lvl w:ilvl="0" w:tplc="5A2E056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E45DE0"/>
    <w:multiLevelType w:val="hybridMultilevel"/>
    <w:tmpl w:val="F286A806"/>
    <w:lvl w:ilvl="0" w:tplc="6994B0F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2E4453"/>
    <w:multiLevelType w:val="hybridMultilevel"/>
    <w:tmpl w:val="DB8C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2410E5"/>
    <w:multiLevelType w:val="hybridMultilevel"/>
    <w:tmpl w:val="4D38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FE5DBF"/>
    <w:multiLevelType w:val="hybridMultilevel"/>
    <w:tmpl w:val="A18039EE"/>
    <w:lvl w:ilvl="0" w:tplc="CE70465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29727">
    <w:abstractNumId w:val="15"/>
  </w:num>
  <w:num w:numId="2" w16cid:durableId="1603104217">
    <w:abstractNumId w:val="4"/>
  </w:num>
  <w:num w:numId="3" w16cid:durableId="1215510164">
    <w:abstractNumId w:val="14"/>
  </w:num>
  <w:num w:numId="4" w16cid:durableId="797993475">
    <w:abstractNumId w:val="6"/>
  </w:num>
  <w:num w:numId="5" w16cid:durableId="321548713">
    <w:abstractNumId w:val="16"/>
  </w:num>
  <w:num w:numId="6" w16cid:durableId="314187817">
    <w:abstractNumId w:val="7"/>
  </w:num>
  <w:num w:numId="7" w16cid:durableId="2036495995">
    <w:abstractNumId w:val="8"/>
  </w:num>
  <w:num w:numId="8" w16cid:durableId="355811261">
    <w:abstractNumId w:val="10"/>
  </w:num>
  <w:num w:numId="9" w16cid:durableId="852762898">
    <w:abstractNumId w:val="11"/>
  </w:num>
  <w:num w:numId="10" w16cid:durableId="409274242">
    <w:abstractNumId w:val="1"/>
  </w:num>
  <w:num w:numId="11" w16cid:durableId="1227837721">
    <w:abstractNumId w:val="5"/>
  </w:num>
  <w:num w:numId="12" w16cid:durableId="347830363">
    <w:abstractNumId w:val="12"/>
  </w:num>
  <w:num w:numId="13" w16cid:durableId="446197660">
    <w:abstractNumId w:val="17"/>
  </w:num>
  <w:num w:numId="14" w16cid:durableId="1205797083">
    <w:abstractNumId w:val="13"/>
  </w:num>
  <w:num w:numId="15" w16cid:durableId="754975306">
    <w:abstractNumId w:val="3"/>
  </w:num>
  <w:num w:numId="16" w16cid:durableId="1786609590">
    <w:abstractNumId w:val="2"/>
  </w:num>
  <w:num w:numId="17" w16cid:durableId="1437091846">
    <w:abstractNumId w:val="0"/>
  </w:num>
  <w:num w:numId="18" w16cid:durableId="2224450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80"/>
    <w:rsid w:val="00006D9A"/>
    <w:rsid w:val="000125E3"/>
    <w:rsid w:val="00016F28"/>
    <w:rsid w:val="000235B9"/>
    <w:rsid w:val="00034060"/>
    <w:rsid w:val="00064B9B"/>
    <w:rsid w:val="000944E9"/>
    <w:rsid w:val="000968FF"/>
    <w:rsid w:val="000A43BB"/>
    <w:rsid w:val="000B1D9D"/>
    <w:rsid w:val="000B25F3"/>
    <w:rsid w:val="000C117C"/>
    <w:rsid w:val="000D5FBE"/>
    <w:rsid w:val="000E167C"/>
    <w:rsid w:val="00102B78"/>
    <w:rsid w:val="00104375"/>
    <w:rsid w:val="00115655"/>
    <w:rsid w:val="00140227"/>
    <w:rsid w:val="00140AB0"/>
    <w:rsid w:val="0015000D"/>
    <w:rsid w:val="001A27D5"/>
    <w:rsid w:val="001A3430"/>
    <w:rsid w:val="001A3680"/>
    <w:rsid w:val="001A4D82"/>
    <w:rsid w:val="001B5672"/>
    <w:rsid w:val="001B7008"/>
    <w:rsid w:val="001E02B9"/>
    <w:rsid w:val="00217E28"/>
    <w:rsid w:val="0022103A"/>
    <w:rsid w:val="002327EB"/>
    <w:rsid w:val="0024778A"/>
    <w:rsid w:val="00257C31"/>
    <w:rsid w:val="0028078D"/>
    <w:rsid w:val="002900EF"/>
    <w:rsid w:val="002A6A73"/>
    <w:rsid w:val="002D7656"/>
    <w:rsid w:val="003134FA"/>
    <w:rsid w:val="00352C2F"/>
    <w:rsid w:val="003752E5"/>
    <w:rsid w:val="003D5B06"/>
    <w:rsid w:val="00427C10"/>
    <w:rsid w:val="00433F2F"/>
    <w:rsid w:val="00466D26"/>
    <w:rsid w:val="004B23A7"/>
    <w:rsid w:val="004E50EF"/>
    <w:rsid w:val="004F1C41"/>
    <w:rsid w:val="00572942"/>
    <w:rsid w:val="005954FD"/>
    <w:rsid w:val="005C24E6"/>
    <w:rsid w:val="00612996"/>
    <w:rsid w:val="00636B3D"/>
    <w:rsid w:val="0064332D"/>
    <w:rsid w:val="006465FE"/>
    <w:rsid w:val="00670080"/>
    <w:rsid w:val="00670D96"/>
    <w:rsid w:val="006A1963"/>
    <w:rsid w:val="006B6734"/>
    <w:rsid w:val="006C1FDA"/>
    <w:rsid w:val="006C375E"/>
    <w:rsid w:val="006D0274"/>
    <w:rsid w:val="006D2A9F"/>
    <w:rsid w:val="006E01F1"/>
    <w:rsid w:val="0070745F"/>
    <w:rsid w:val="00717A8B"/>
    <w:rsid w:val="00762C16"/>
    <w:rsid w:val="007751F7"/>
    <w:rsid w:val="00775D92"/>
    <w:rsid w:val="007E758A"/>
    <w:rsid w:val="007F727A"/>
    <w:rsid w:val="008005B9"/>
    <w:rsid w:val="00823D01"/>
    <w:rsid w:val="008265F9"/>
    <w:rsid w:val="00830028"/>
    <w:rsid w:val="00855108"/>
    <w:rsid w:val="00857678"/>
    <w:rsid w:val="008752C5"/>
    <w:rsid w:val="008915CF"/>
    <w:rsid w:val="0089385E"/>
    <w:rsid w:val="008C5DA2"/>
    <w:rsid w:val="008F180C"/>
    <w:rsid w:val="0090456B"/>
    <w:rsid w:val="00920080"/>
    <w:rsid w:val="00941D42"/>
    <w:rsid w:val="00945A0B"/>
    <w:rsid w:val="009B43C7"/>
    <w:rsid w:val="009D73E2"/>
    <w:rsid w:val="00A04156"/>
    <w:rsid w:val="00A044D3"/>
    <w:rsid w:val="00AA2AF5"/>
    <w:rsid w:val="00AF609E"/>
    <w:rsid w:val="00B144DB"/>
    <w:rsid w:val="00B16216"/>
    <w:rsid w:val="00B348D1"/>
    <w:rsid w:val="00B60D7B"/>
    <w:rsid w:val="00BA6F01"/>
    <w:rsid w:val="00BD2A92"/>
    <w:rsid w:val="00BE3817"/>
    <w:rsid w:val="00C37400"/>
    <w:rsid w:val="00C43C0D"/>
    <w:rsid w:val="00C452F4"/>
    <w:rsid w:val="00C55ECD"/>
    <w:rsid w:val="00C6104A"/>
    <w:rsid w:val="00CB6EBD"/>
    <w:rsid w:val="00CC6858"/>
    <w:rsid w:val="00CD0C9B"/>
    <w:rsid w:val="00CE00BB"/>
    <w:rsid w:val="00D04228"/>
    <w:rsid w:val="00D1298A"/>
    <w:rsid w:val="00D2077D"/>
    <w:rsid w:val="00D32A20"/>
    <w:rsid w:val="00DA1B92"/>
    <w:rsid w:val="00DD4F3D"/>
    <w:rsid w:val="00DE302E"/>
    <w:rsid w:val="00DE3A1B"/>
    <w:rsid w:val="00DE4441"/>
    <w:rsid w:val="00DF5374"/>
    <w:rsid w:val="00E3541F"/>
    <w:rsid w:val="00E568B3"/>
    <w:rsid w:val="00E7611B"/>
    <w:rsid w:val="00E861B5"/>
    <w:rsid w:val="00E91CCF"/>
    <w:rsid w:val="00E937EF"/>
    <w:rsid w:val="00EE2821"/>
    <w:rsid w:val="00F47D44"/>
    <w:rsid w:val="00F56349"/>
    <w:rsid w:val="00F63E4C"/>
    <w:rsid w:val="00F655C7"/>
    <w:rsid w:val="00FA24E5"/>
    <w:rsid w:val="00FC0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23DDB"/>
  <w15:chartTrackingRefBased/>
  <w15:docId w15:val="{4BC13AD5-5081-4F6D-BAC9-903396C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680"/>
  </w:style>
  <w:style w:type="paragraph" w:styleId="Footer">
    <w:name w:val="footer"/>
    <w:basedOn w:val="Normal"/>
    <w:link w:val="FooterChar"/>
    <w:unhideWhenUsed/>
    <w:rsid w:val="001A3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80"/>
  </w:style>
  <w:style w:type="table" w:styleId="TableGrid">
    <w:name w:val="Table Grid"/>
    <w:basedOn w:val="TableNormal"/>
    <w:uiPriority w:val="39"/>
    <w:rsid w:val="001A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680"/>
    <w:pPr>
      <w:ind w:left="720"/>
      <w:contextualSpacing/>
    </w:pPr>
  </w:style>
  <w:style w:type="paragraph" w:styleId="BodyTextIndent">
    <w:name w:val="Body Text Indent"/>
    <w:basedOn w:val="Normal"/>
    <w:link w:val="BodyTextIndentChar"/>
    <w:rsid w:val="001A3680"/>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1A368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6B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04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24M2EFFCCYFR-1587107089-8417</_dlc_DocId>
    <_dlc_DocIdUrl xmlns="1abd4661-8f3c-4953-a77a-98371fb104ac">
      <Url>https://bdamanagement1993.sharepoint.com/sites/Document-Store/_layouts/15/DocIdRedir.aspx?ID=24M2EFFCCYFR-1587107089-8417</Url>
      <Description>24M2EFFCCYFR-1587107089-8417</Description>
    </_dlc_DocIdUrl>
    <lcf76f155ced4ddcb4097134ff3c332f xmlns="65871bf2-9dfe-4772-a216-ad217c90bf0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44BE1AB-DF66-46F4-8849-8FA7E4CA8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9282DC-A524-45EA-B339-E995E05E1BF0}">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3.xml><?xml version="1.0" encoding="utf-8"?>
<ds:datastoreItem xmlns:ds="http://schemas.openxmlformats.org/officeDocument/2006/customXml" ds:itemID="{ECAD6FA2-3C15-4E89-BE44-4AA26931FAB3}">
  <ds:schemaRefs>
    <ds:schemaRef ds:uri="http://schemas.microsoft.com/sharepoint/v3/contenttype/forms"/>
  </ds:schemaRefs>
</ds:datastoreItem>
</file>

<file path=customXml/itemProps4.xml><?xml version="1.0" encoding="utf-8"?>
<ds:datastoreItem xmlns:ds="http://schemas.openxmlformats.org/officeDocument/2006/customXml" ds:itemID="{52AF0273-85F0-4EBF-9CD2-990C2EB2785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Allen</dc:creator>
  <cp:keywords/>
  <dc:description/>
  <cp:lastModifiedBy>Muhammad Yaseen</cp:lastModifiedBy>
  <cp:revision>45</cp:revision>
  <cp:lastPrinted>2017-03-28T07:49:00Z</cp:lastPrinted>
  <dcterms:created xsi:type="dcterms:W3CDTF">2016-09-15T07:12:00Z</dcterms:created>
  <dcterms:modified xsi:type="dcterms:W3CDTF">2023-10-17T03:39:00Z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13841000</vt:r8>
  </property>
  <property fmtid="{D5CDD505-2E9C-101B-9397-08002B2CF9AE}" pid="4" name="_dlc_DocIdItemGuid">
    <vt:lpwstr>8c89c756-4e70-4041-82b8-71db147a019a</vt:lpwstr>
  </property>
  <property fmtid="{D5CDD505-2E9C-101B-9397-08002B2CF9AE}" pid="5" name="MediaServiceImageTags">
    <vt:lpwstr/>
  </property>
</Properties>
</file>