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7B13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205FBED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 and C.</w:t>
      </w:r>
    </w:p>
    <w:p w14:paraId="27061368">
      <w:pPr>
        <w:bidi w:val="0"/>
        <w:rPr>
          <w:rFonts w:hint="default"/>
          <w:sz w:val="28"/>
          <w:szCs w:val="28"/>
          <w:lang w:val="en-US"/>
        </w:rPr>
      </w:pPr>
    </w:p>
    <w:p w14:paraId="1D6CFF6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Global average, not per department</w:t>
      </w:r>
      <w:r>
        <w:rPr>
          <w:rFonts w:hint="default"/>
          <w:sz w:val="28"/>
          <w:szCs w:val="28"/>
          <w:lang w:val="en-US"/>
        </w:rPr>
        <w:t>.</w:t>
      </w:r>
    </w:p>
    <w:p w14:paraId="74CC711A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7960" cy="2388870"/>
            <wp:effectExtent l="0" t="0" r="508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338DE">
      <w:pPr>
        <w:bidi w:val="0"/>
        <w:rPr>
          <w:sz w:val="28"/>
          <w:szCs w:val="28"/>
        </w:rPr>
      </w:pPr>
    </w:p>
    <w:p w14:paraId="76652D77">
      <w:pPr>
        <w:bidi w:val="0"/>
        <w:rPr>
          <w:sz w:val="28"/>
          <w:szCs w:val="28"/>
        </w:rPr>
      </w:pPr>
    </w:p>
    <w:p w14:paraId="3171FED5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B: Correct. Subquery by department.</w:t>
      </w:r>
    </w:p>
    <w:p w14:paraId="4AD3955D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5268595" cy="3431540"/>
            <wp:effectExtent l="0" t="0" r="444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7451C">
      <w:pPr>
        <w:bidi w:val="0"/>
        <w:rPr>
          <w:rFonts w:hint="default"/>
          <w:sz w:val="28"/>
          <w:szCs w:val="28"/>
          <w:lang w:val="en-US"/>
        </w:rPr>
      </w:pPr>
    </w:p>
    <w:p w14:paraId="43A780BB">
      <w:pPr>
        <w:bidi w:val="0"/>
        <w:rPr>
          <w:rFonts w:hint="default"/>
          <w:sz w:val="28"/>
          <w:szCs w:val="28"/>
          <w:lang w:val="en-US"/>
        </w:rPr>
      </w:pPr>
    </w:p>
    <w:p w14:paraId="4F226685">
      <w:pPr>
        <w:bidi w:val="0"/>
        <w:rPr>
          <w:rFonts w:hint="default"/>
          <w:sz w:val="28"/>
          <w:szCs w:val="28"/>
          <w:lang w:val="en-US"/>
        </w:rPr>
      </w:pPr>
    </w:p>
    <w:p w14:paraId="3706CFAC">
      <w:pPr>
        <w:bidi w:val="0"/>
        <w:rPr>
          <w:rFonts w:hint="default"/>
          <w:sz w:val="28"/>
          <w:szCs w:val="28"/>
          <w:lang w:val="en-US"/>
        </w:rPr>
      </w:pPr>
    </w:p>
    <w:p w14:paraId="48D190BF">
      <w:pPr>
        <w:bidi w:val="0"/>
        <w:rPr>
          <w:rFonts w:hint="default"/>
          <w:sz w:val="28"/>
          <w:szCs w:val="28"/>
          <w:lang w:val="en-US"/>
        </w:rPr>
      </w:pPr>
    </w:p>
    <w:p w14:paraId="5DAF6F91">
      <w:pPr>
        <w:bidi w:val="0"/>
        <w:rPr>
          <w:rFonts w:hint="default"/>
          <w:sz w:val="28"/>
          <w:szCs w:val="28"/>
          <w:lang w:val="en-US"/>
        </w:rPr>
      </w:pPr>
    </w:p>
    <w:p w14:paraId="173D18F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Also correct but more complex.</w:t>
      </w:r>
    </w:p>
    <w:p w14:paraId="2A9153B7">
      <w:r>
        <w:drawing>
          <wp:inline distT="0" distB="0" distL="114300" distR="114300">
            <wp:extent cx="5271135" cy="3806190"/>
            <wp:effectExtent l="0" t="0" r="190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7C46C">
      <w:pPr>
        <w:rPr>
          <w:rFonts w:hint="default"/>
          <w:lang w:val="en-US"/>
        </w:rPr>
      </w:pPr>
    </w:p>
    <w:p w14:paraId="032A43B0">
      <w:pPr>
        <w:bidi w:val="0"/>
        <w:rPr>
          <w:rFonts w:hint="default"/>
          <w:sz w:val="28"/>
          <w:szCs w:val="28"/>
          <w:lang w:val="en-US"/>
        </w:rPr>
      </w:pPr>
    </w:p>
    <w:p w14:paraId="4BDC858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Misuse of aggregation in WHER</w:t>
      </w:r>
      <w:r>
        <w:rPr>
          <w:rFonts w:hint="default"/>
          <w:sz w:val="28"/>
          <w:szCs w:val="28"/>
          <w:lang w:val="en-US"/>
        </w:rPr>
        <w:t>E.</w:t>
      </w:r>
    </w:p>
    <w:p w14:paraId="6BB6BE81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8595" cy="1231265"/>
            <wp:effectExtent l="0" t="0" r="444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B4FAE">
      <w:pPr>
        <w:bidi w:val="0"/>
        <w:rPr>
          <w:sz w:val="28"/>
          <w:szCs w:val="28"/>
        </w:rPr>
      </w:pPr>
    </w:p>
    <w:p w14:paraId="384973BE">
      <w:pPr>
        <w:bidi w:val="0"/>
        <w:rPr>
          <w:sz w:val="28"/>
          <w:szCs w:val="28"/>
        </w:rPr>
      </w:pPr>
    </w:p>
    <w:p w14:paraId="59C7B20A">
      <w:pPr>
        <w:bidi w:val="0"/>
        <w:rPr>
          <w:rFonts w:hint="default"/>
          <w:sz w:val="28"/>
          <w:szCs w:val="28"/>
          <w:lang w:val="en-US"/>
        </w:rPr>
      </w:pPr>
    </w:p>
    <w:p w14:paraId="72D1C307">
      <w:pPr>
        <w:bidi w:val="0"/>
        <w:rPr>
          <w:rFonts w:hint="default"/>
          <w:sz w:val="28"/>
          <w:szCs w:val="28"/>
          <w:lang w:val="en-US"/>
        </w:rPr>
      </w:pPr>
    </w:p>
    <w:p w14:paraId="13F5482B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5A77695">
      <w:pPr>
        <w:bidi w:val="0"/>
        <w:rPr>
          <w:rFonts w:hint="default"/>
          <w:sz w:val="28"/>
          <w:szCs w:val="28"/>
          <w:lang w:val="en-US"/>
        </w:rPr>
      </w:pPr>
    </w:p>
    <w:p w14:paraId="5FD9533A">
      <w:pPr>
        <w:bidi w:val="0"/>
        <w:rPr>
          <w:rFonts w:hint="default"/>
          <w:sz w:val="28"/>
          <w:szCs w:val="28"/>
          <w:lang w:val="en-US"/>
        </w:rPr>
      </w:pPr>
    </w:p>
    <w:p w14:paraId="2818960D">
      <w:pPr>
        <w:bidi w:val="0"/>
        <w:rPr>
          <w:rFonts w:hint="default"/>
          <w:sz w:val="28"/>
          <w:szCs w:val="28"/>
          <w:lang w:val="en-US"/>
        </w:rPr>
      </w:pPr>
    </w:p>
    <w:p w14:paraId="0ADB66AA">
      <w:pPr>
        <w:bidi w:val="0"/>
        <w:rPr>
          <w:rFonts w:hint="default"/>
          <w:sz w:val="28"/>
          <w:szCs w:val="28"/>
          <w:lang w:val="en-US"/>
        </w:rPr>
      </w:pPr>
    </w:p>
    <w:p w14:paraId="1654EF9F">
      <w:pPr>
        <w:bidi w:val="0"/>
        <w:rPr>
          <w:rFonts w:hint="default"/>
          <w:sz w:val="28"/>
          <w:szCs w:val="28"/>
          <w:lang w:val="en-US"/>
        </w:rPr>
      </w:pPr>
    </w:p>
    <w:p w14:paraId="1D139881">
      <w:pPr>
        <w:bidi w:val="0"/>
        <w:rPr>
          <w:rFonts w:hint="default"/>
          <w:sz w:val="28"/>
          <w:szCs w:val="28"/>
          <w:lang w:val="en-US"/>
        </w:rPr>
      </w:pPr>
    </w:p>
    <w:p w14:paraId="38CF6CC5">
      <w:pPr>
        <w:bidi w:val="0"/>
        <w:rPr>
          <w:rFonts w:hint="default"/>
          <w:sz w:val="28"/>
          <w:szCs w:val="28"/>
          <w:lang w:val="en-US"/>
        </w:rPr>
      </w:pPr>
    </w:p>
    <w:p w14:paraId="10AA52D7">
      <w:pPr>
        <w:bidi w:val="0"/>
        <w:rPr>
          <w:rFonts w:hint="default"/>
          <w:sz w:val="28"/>
          <w:szCs w:val="28"/>
          <w:lang w:val="en-US"/>
        </w:rPr>
      </w:pPr>
    </w:p>
    <w:p w14:paraId="7CFC0F7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3C3FF06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  <w:bookmarkStart w:id="0" w:name="_GoBack"/>
      <w:bookmarkEnd w:id="0"/>
    </w:p>
    <w:p w14:paraId="6B21C4BB">
      <w:pPr>
        <w:bidi w:val="0"/>
        <w:rPr>
          <w:rFonts w:hint="default"/>
          <w:sz w:val="28"/>
          <w:szCs w:val="28"/>
          <w:lang w:val="en-US"/>
        </w:rPr>
      </w:pPr>
    </w:p>
    <w:p w14:paraId="0CE84FE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It is false. Here the subquery is in the SELECT cluase, not the WHERE.</w:t>
      </w:r>
    </w:p>
    <w:p w14:paraId="4AF45CA1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7325" cy="2520315"/>
            <wp:effectExtent l="0" t="0" r="571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FE9B6">
      <w:pPr>
        <w:bidi w:val="0"/>
        <w:rPr>
          <w:sz w:val="28"/>
          <w:szCs w:val="28"/>
        </w:rPr>
      </w:pPr>
    </w:p>
    <w:p w14:paraId="6393D9F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This is false. Here the subquery returns a single value.</w:t>
      </w:r>
    </w:p>
    <w:p w14:paraId="5D3E5B17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2405" cy="2668905"/>
            <wp:effectExtent l="0" t="0" r="63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9A1D2">
      <w:pPr>
        <w:bidi w:val="0"/>
        <w:rPr>
          <w:sz w:val="28"/>
          <w:szCs w:val="28"/>
        </w:rPr>
      </w:pPr>
    </w:p>
    <w:p w14:paraId="7F41E94C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C: This is True. </w:t>
      </w:r>
      <w:r>
        <w:rPr>
          <w:sz w:val="28"/>
          <w:szCs w:val="28"/>
          <w:highlight w:val="yellow"/>
        </w:rPr>
        <w:t>Subqueries can be used in SELECT, FROM, and WHERE clauses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660F733F">
      <w:pPr>
        <w:bidi w:val="0"/>
        <w:rPr>
          <w:rFonts w:hint="default"/>
          <w:sz w:val="28"/>
          <w:szCs w:val="28"/>
          <w:lang w:val="en-US"/>
        </w:rPr>
      </w:pPr>
    </w:p>
    <w:p w14:paraId="05C6512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Correlated subqueries execute once per row of the outer query, which can be less efficient than non-correlated subqueries that compute once and reuse results.</w:t>
      </w:r>
    </w:p>
    <w:p w14:paraId="2768BB15">
      <w:pPr>
        <w:bidi w:val="0"/>
        <w:rPr>
          <w:sz w:val="28"/>
          <w:szCs w:val="28"/>
        </w:rPr>
      </w:pPr>
    </w:p>
    <w:p w14:paraId="3AA92382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04CBB4A1">
      <w:pPr>
        <w:bidi w:val="0"/>
        <w:rPr>
          <w:rFonts w:hint="default"/>
          <w:sz w:val="28"/>
          <w:szCs w:val="28"/>
          <w:lang w:val="en-US"/>
        </w:rPr>
      </w:pPr>
    </w:p>
    <w:p w14:paraId="6D150C7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03DE5B5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Answer is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624AB0"/>
    <w:rsid w:val="6541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2025-11-17T05:14:00Z</dcterms:created>
  <dc:creator>W24093-User</dc:creator>
  <cp:lastModifiedBy>WPS_1759385867</cp:lastModifiedBy>
  <dcterms:modified xsi:type="dcterms:W3CDTF">2025-11-18T07:57:30Z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66F0F21B553E4DC7937CE7CFDBD0C4EB_12</vt:lpwstr>
  </property>
</Properties>
</file>