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n383mt6mr9gd" w:id="0"/>
      <w:bookmarkEnd w:id="0"/>
      <w:r w:rsidDel="00000000" w:rsidR="00000000" w:rsidRPr="00000000">
        <w:rPr>
          <w:rtl w:val="0"/>
        </w:rPr>
        <w:t xml:space="preserve">Verantwortlicher Kommunikation und Abstimmung GOSU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3240"/>
        <w:gridCol w:w="2505"/>
        <w:tblGridChange w:id="0">
          <w:tblGrid>
            <w:gridCol w:w="2880"/>
            <w:gridCol w:w="3240"/>
            <w:gridCol w:w="25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Besetzt von: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Stundenaufwand pro Saison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Helferpunkte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Andreas Kohler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Pflichten: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Abstimmung der benötigten Hallenkapazitäten zwischen dem Hallenverantwortlichen der GOSU und den Kadetten Unihockey Schaffhausen.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Sicherstellen, dass die zugewiesenen Halleneinheiten optimal ausgenutzt werden können. Optimaler Einsatz von Trainerressourcen und Förderung von Nachwuchsleitern.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Kontakt mit der Halle, ob keine Beschwerden von anderen Vereinen / Abwart geäussert werden.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Ansprechperson: Matthias Regli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