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383mt6mr9gd" w:id="0"/>
      <w:bookmarkEnd w:id="0"/>
      <w:r w:rsidDel="00000000" w:rsidR="00000000" w:rsidRPr="00000000">
        <w:rPr>
          <w:rtl w:val="0"/>
        </w:rPr>
        <w:t xml:space="preserve">Hallenverantwortliche:r BBC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240"/>
        <w:gridCol w:w="2505"/>
        <w:tblGridChange w:id="0">
          <w:tblGrid>
            <w:gridCol w:w="2880"/>
            <w:gridCol w:w="324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Besetzt von: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Stundenaufwand pro Saison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Helferpunkte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Lukas Jenny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Pflichten: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Den Hallenplan jede Woche (montags) kontrollieren und bei belegter Halle kurz mit dem Trainer Kontakt aufnehmen.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Garderobeneinteilung für Turniertage und Einzelspiele in der Halle erstellen und an David Graubner senden.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Kommunikation bezüglich anstehender Events sicherstellen (insbesondere Hallenverfügbarkeit).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Sobald die Turnierdaten veröffentlicht sind, die Turniervergabe planen und mit David Graubner sowie Heinz Looser absprechen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Ansprechperson: Katja Fäh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