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383mt6mr9gd" w:id="0"/>
      <w:bookmarkEnd w:id="0"/>
      <w:r w:rsidDel="00000000" w:rsidR="00000000" w:rsidRPr="00000000">
        <w:rPr>
          <w:rtl w:val="0"/>
        </w:rPr>
        <w:t xml:space="preserve">Schiedsricherobmann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240"/>
        <w:gridCol w:w="2505"/>
        <w:tblGridChange w:id="0">
          <w:tblGrid>
            <w:gridCol w:w="2880"/>
            <w:gridCol w:w="324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Besetzt von: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Stundenaufwand pro Saison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Helferpunkte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Andreas Schuler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Pflichten: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Schiedsrichterwesen koordinieren</w:t>
        <w:br w:type="textWrapping"/>
      </w:r>
      <w:r w:rsidDel="00000000" w:rsidR="00000000" w:rsidRPr="00000000">
        <w:rPr>
          <w:rtl w:val="0"/>
        </w:rPr>
        <w:t xml:space="preserve"> Planung, Organisation und Sicherstellung der Erfüllung aller Schiedsrichterpflichten des Vereins.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Rekrutierung und Betreuung</w:t>
        <w:br w:type="textWrapping"/>
      </w:r>
      <w:r w:rsidDel="00000000" w:rsidR="00000000" w:rsidRPr="00000000">
        <w:rPr>
          <w:rtl w:val="0"/>
        </w:rPr>
        <w:t xml:space="preserve"> Gewinnung, Einführung und Unterstützung von Schiedsrichterinnen und Schiedsrichtern sowie Ansprechperson für deren Anliegen.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Aus- und Weiterbildung fördern</w:t>
        <w:br w:type="textWrapping"/>
      </w:r>
      <w:r w:rsidDel="00000000" w:rsidR="00000000" w:rsidRPr="00000000">
        <w:rPr>
          <w:rtl w:val="0"/>
        </w:rPr>
        <w:t xml:space="preserve"> Sicherstellung der Teilnahme an Aus- und Weiterbildungen sowie Information über Reglemente und Verbandsvorgaben.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Kommunikation mit Verband und Verein</w:t>
        <w:br w:type="textWrapping"/>
      </w:r>
      <w:r w:rsidDel="00000000" w:rsidR="00000000" w:rsidRPr="00000000">
        <w:rPr>
          <w:rtl w:val="0"/>
        </w:rPr>
        <w:t xml:space="preserve"> Pflege des Austauschs mit dem Verband, dem Vorstand und den Vereinsmitgliedern in schiedsrichterrelevanten Belangen.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Administration und Kontrolle</w:t>
        <w:br w:type="textWrapping"/>
      </w:r>
      <w:r w:rsidDel="00000000" w:rsidR="00000000" w:rsidRPr="00000000">
        <w:rPr>
          <w:rtl w:val="0"/>
        </w:rPr>
        <w:t xml:space="preserve"> Verwaltung der Schiedsrichterdaten, Überwachung von Einsätzen und Fristen sowie Sicherstellung der Einhaltung der Verbandsvorschriften.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Ansprechperson: Sandro Ehrbar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