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560"/>
          <w:sz w:val="52"/>
          <w:szCs w:val="52"/>
        </w:rPr>
        <w:t xml:space="preserve">Loi d’Asymétrie sg/xsg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4A7A"/>
          <w:sz w:val="44"/>
          <w:szCs w:val="44"/>
        </w:rPr>
        <w:t xml:space="preserve">dans (ℤ/30ℤ)★</w:t>
      </w:r>
    </w:p>
    <w:p>
      <w:pPr>
        <w:spacing w:after="60" w:before="60"/>
      </w:pPr>
    </w:p>
    <w:p>
      <w:pPr>
        <w:pBdr>
          <w:top w:val="single" w:color="2E4A7A" w:sz="6" w:space="4"/>
          <w:bottom w:val="single" w:color="2E4A7A" w:sz="6" w:space="4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Loi p-e Monfette — Rapport de recherche</w:t>
      </w:r>
    </w:p>
    <w:p>
      <w:pPr>
        <w:spacing w:after="60" w:before="12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Auteur : Michel Monfette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: 11 mai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Statut : Conjecture empirique validée sur N ∈ [10⁸, 10¹¹]</w:t>
      </w:r>
    </w:p>
    <w:p>
      <w:pPr>
        <w:spacing w:after="0" w:before="400"/>
      </w:pP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0. Position dans la théorie p-e Monfette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La théorie p-e Monfette contient deux lois distinctes et complémentaires :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Loi orbitale p-e</w:t>
            </w:r>
          </w:p>
        </w:tc>
        <w:tc>
          <w:tcPr>
            <w:tcW w:type="dxa" w:w="34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Loi d’asymétrie sg/xsg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Dₙ = Lₙ − ln(pₙ₊₁)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asymétrie(N)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≈ 1.093796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= 5·log(30)² ≈ 57.8407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Exposant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 = 9/4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/ G2 / G3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 / xsg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Universelle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Géométrique (ℤ/30ℤ)★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Échelle validée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10¹¹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Convergence vers 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Décroissance vers 0</w:t>
            </w:r>
          </w:p>
        </w:tc>
      </w:tr>
    </w:tbl>
    <w:p>
      <w:pPr>
        <w:spacing w:after="6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Ces deux lois décrivent le même phénomène sous deux angles complémentaires : la loi p-e décrit la dynamique orbitale des nombres premiers ; la loi d’asymétrie décrit la géométrie mod 30 de cette dynamique.</w:t>
      </w:r>
    </w:p>
    <w:p>
      <w:pPr>
        <w:spacing w:after="60" w:before="120"/>
      </w:pP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1. Résumé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3"/>
              <w:left w:val="single" w:color="2E4A7A" w:sz="3"/>
              <w:bottom w:val="single" w:color="2E4A7A" w:sz="3"/>
              <w:right w:val="single" w:color="2E4A7A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560"/>
                <w:sz w:val="24"/>
                <w:szCs w:val="24"/>
              </w:rPr>
              <w:t xml:space="preserve">asymétrie(N) = n_xsg · log(P₃)² / log₁₀(N)^(n_sg²/(n_sg+1))  =  5·log(30)² / log₁₀(N)^(9/4)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2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Origine géométrique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9/4 = 2.25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n_sg² / (n_sg+1) = 3² /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57.8407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n_xsg · log(P₃)² = 5 · log(30)²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0.9981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 11 points [1.5×10⁸, 10¹¹]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0.00341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Résidus max ≈ ±1.7 %</w:t>
            </w:r>
          </w:p>
        </w:tc>
      </w:tr>
    </w:tbl>
    <w:p>
      <w:pPr>
        <w:spacing w:after="60" w:before="120"/>
      </w:pP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2. Géométrie de (ℤ/30ℤ)★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φ(30) = 8 résidus admissibles : {1, 7, 11, 13, 17, 19, 23, 29}</w:t>
      </w:r>
    </w:p>
    <w:p>
      <w:pPr>
        <w:spacing w:after="60" w:before="40"/>
      </w:pPr>
    </w:p>
    <w:p>
      <w:pPr>
        <w:pStyle w:val="Heading2"/>
      </w:pPr>
      <w:r>
        <w:rPr>
          <w:rFonts w:ascii="Arial" w:cs="Arial" w:eastAsia="Arial" w:hAnsi="Arial"/>
        </w:rPr>
        <w:t xml:space="preserve">2.1 Définition des classes sg et xsg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résidu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 ∈ (ℤ/30ℤ)★ 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Sophie Germain (sg)</w:t>
      </w:r>
      <w:r>
        <w:rPr>
          <w:rFonts w:ascii="Arial" w:cs="Arial" w:eastAsia="Arial" w:hAnsi="Arial"/>
          <w:sz w:val="22"/>
          <w:szCs w:val="22"/>
        </w:rPr>
        <w:t xml:space="preserve"> si et seulement si (2r + 1) mod 30 est également admissible.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Résidus</w:t>
            </w:r>
          </w:p>
        </w:tc>
        <w:tc>
          <w:tcPr>
            <w:tcW w:type="dxa" w:w="1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Cardinalité</w:t>
            </w:r>
          </w:p>
        </w:tc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 (Sophie Germain)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{11, 23, 29}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n_sg =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11→23✓  23→17✓  29→29✓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xsg (non-SG)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{1, 7, 13, 17, 19}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n_xsg =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1→3✗  7→15✗  13→27✗  17→5✗  19→39≡ 9✗</w:t>
            </w:r>
          </w:p>
        </w:tc>
      </w:tr>
    </w:tbl>
    <w:p>
      <w:pPr>
        <w:spacing w:after="6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 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la notation r→s signifie (2r+1) mod 30 = s. Seuls {11, 23, 29} produisent un résidu admissible ; les cinq autres tombent hors du groupe.</w:t>
      </w:r>
    </w:p>
    <w:p>
      <w:pPr>
        <w:spacing w:after="60" w:before="40"/>
      </w:pPr>
    </w:p>
    <w:p>
      <w:pPr>
        <w:pStyle w:val="Heading2"/>
      </w:pPr>
      <w:r>
        <w:rPr>
          <w:rFonts w:ascii="Arial" w:cs="Arial" w:eastAsia="Arial" w:hAnsi="Arial"/>
        </w:rPr>
        <w:t xml:space="preserve">2.2 Constantes dérivées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n_sg² / (n_sg + 1)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9/4 = 2.25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Exposant α de la loi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n_xsg · log(P₃)²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57.8407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Amplitude C de la loi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n_xsg / n_sg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5/3 ≈ 1.6667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structurel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P₃ = 2×3×5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Primorial de référence</w:t>
            </w:r>
          </w:p>
        </w:tc>
      </w:tr>
    </w:tbl>
    <w:p>
      <w:pPr>
        <w:spacing w:after="60" w:before="120"/>
      </w:pP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3. Données empiriques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Crible segmenté numpy. Fenêtre = 10 000, pas = 5 000, seuil rupture = 0.15.</w:t>
      </w:r>
    </w:p>
    <w:p>
      <w:pPr>
        <w:spacing w:after="60" w:before="6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800"/>
        <w:gridCol w:w="900"/>
        <w:gridCol w:w="900"/>
        <w:gridCol w:w="600"/>
        <w:gridCol w:w="900"/>
        <w:gridCol w:w="600"/>
      </w:tblGrid>
      <w:tr>
        <w:trPr>
          <w:tblHeader/>
        </w:trPr>
        <w:tc>
          <w:tcPr>
            <w:tcW w:type="dxa" w:w="1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log₁₀(N)</w:t>
            </w:r>
          </w:p>
        </w:tc>
        <w:tc>
          <w:tcPr>
            <w:tcW w:type="dxa" w:w="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Asym. obs.</w:t>
            </w:r>
          </w:p>
        </w:tc>
        <w:tc>
          <w:tcPr>
            <w:tcW w:type="dxa" w:w="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Ruptures</w:t>
            </w:r>
          </w:p>
        </w:tc>
        <w:tc>
          <w:tcPr>
            <w:tcW w:type="dxa" w:w="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Géom. close</w:t>
            </w:r>
          </w:p>
        </w:tc>
        <w:tc>
          <w:tcPr>
            <w:tcW w:type="dxa" w:w="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 %</w:t>
            </w:r>
          </w:p>
        </w:tc>
        <w:tc>
          <w:tcPr>
            <w:tcW w:type="dxa" w:w="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MCO α=9/4</w:t>
            </w:r>
          </w:p>
        </w:tc>
        <w:tc>
          <w:tcPr>
            <w:tcW w:type="dxa" w:w="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 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151 991 108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8.182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0.5109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+0.7 %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0.5115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+0.8 %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215 443 469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0.4879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+0.5 %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+0.6 %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432 876 128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8.636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0.4604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1 616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0.4524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−1.7 %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0.4529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−1.6 %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999 999 999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4 949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+0.2 %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+0.3 %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1 232 846 739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6 847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0.4031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−1.2 %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0.4035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−1.1 %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3 511 191 734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24 951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0.3612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+0.5 %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0.3616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+0.6 %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4 641 588 833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35 432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−0.8 %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−0.6 %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10 000 000 000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88 673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0.3253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+0.0 %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0.3257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+0.2 %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21 544 346 900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217 037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+0.7 %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+0.9 %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30 000 000 000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10.477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319 676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+0.8 %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0.2932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+0.9 %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100 000 000 000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1 267 109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−0.9 %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−0.8 %</w:t>
            </w:r>
          </w:p>
        </w:tc>
      </w:tr>
    </w:tbl>
    <w:p>
      <w:pPr>
        <w:spacing w:after="60" w:before="120"/>
      </w:pP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4. Comparaison des modèles MCO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Estimateur MCO exact : C = Σ(yᵢ / logᵅ Nᵢ) / Σ(1 / log²ᵅ Nᵢ)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1000"/>
        <w:gridCol w:w="9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</w:t>
            </w:r>
          </w:p>
        </w:tc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2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Géométrique close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57.8407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0.998077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Prédiction pure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MCO α = 9/4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57.9108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0.998112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0.00341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MCO α = 2.246 libre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2.2460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57.4017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0.998116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0.00341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MCO α = 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33.3247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0.986618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0.00909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</w:t>
            </w:r>
          </w:p>
        </w:tc>
      </w:tr>
    </w:tbl>
    <w:p>
      <w:pPr>
        <w:spacing w:after="60" w:before="80"/>
      </w:pPr>
    </w:p>
    <w:p>
      <w:pPr>
        <w:pBdr>
          <w:left w:val="single" w:color="2E4A7A" w:sz="6" w:space="8"/>
        </w:pBd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ΔR²(modèle libre vs géométrique) = 0.000039</w:t>
      </w:r>
      <w:r>
        <w:rPr>
          <w:rFonts w:ascii="Arial" w:cs="Arial" w:eastAsia="Arial" w:hAnsi="Arial"/>
          <w:sz w:val="22"/>
          <w:szCs w:val="22"/>
        </w:rPr>
        <w:t xml:space="preserve"> — négligeable. La forme close C = 5·log(30)², α = 9/4 atteint la même qualité d’ajustement qu’un modèle à paramètre libre, sans aucun ajustement.</w:t>
      </w:r>
    </w:p>
    <w:p>
      <w:pPr>
        <w:spacing w:after="60" w:before="120"/>
      </w:pP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5. Origine géométrique de C et α</w:t>
      </w:r>
    </w:p>
    <w:p>
      <w:pPr>
        <w:pStyle w:val="Heading2"/>
      </w:pPr>
      <w:r>
        <w:rPr>
          <w:rFonts w:ascii="Arial" w:cs="Arial" w:eastAsia="Arial" w:hAnsi="Arial"/>
        </w:rPr>
        <w:t xml:space="preserve">5.1 Exposant α = 9/4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α = n_sg² / (n_sg + 1) = 3² / (3+1) = 9/4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Cette expression ne fait intervenir que le nombre de résidus Sophie Germain dans (ℤ/30ℤ)★. La valeur 9/4 est la fraction simple la plus proche du maximum de R²(α).</w:t>
      </w:r>
    </w:p>
    <w:p>
      <w:pPr>
        <w:spacing w:after="60" w:before="40"/>
      </w:pPr>
    </w:p>
    <w:p>
      <w:pPr>
        <w:pStyle w:val="Heading2"/>
      </w:pPr>
      <w:r>
        <w:rPr>
          <w:rFonts w:ascii="Arial" w:cs="Arial" w:eastAsia="Arial" w:hAnsi="Arial"/>
        </w:rPr>
        <w:t xml:space="preserve">5.2 Amplitude C = 5·log(30)²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C = n_xsg · log(P₃)² = 5 · log(30)² ≈ 57.8407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C fait intervenir le nombre de résidus non-SG et le logarithme naturel du primorial P₃ = 30.</w:t>
      </w:r>
    </w:p>
    <w:p>
      <w:pPr>
        <w:spacing w:after="60" w:before="4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2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numérique</w:t>
            </w:r>
          </w:p>
        </w:tc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Écart vs MCO</w:t>
            </w:r>
          </w:p>
        </w:tc>
        <w:tc>
          <w:tcPr>
            <w:tcW w:type="dxa" w:w="1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n_xsg · log(P₃)²  =  5 · log(30)²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57.840718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0.000 %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· 3 · log(11)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57.549487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0.504 %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· log(11)²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57.499017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0.591 %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· 4 · log(6)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57.336303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0.872 %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· n_sg · log(p₇)²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56.798495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1.802 %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</w:tr>
    </w:tbl>
    <w:p>
      <w:pPr>
        <w:spacing w:after="60" w:before="120"/>
      </w:pP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6. Comparaison avec les lois classiques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Loi</w:t>
            </w:r>
          </w:p>
        </w:tc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Quantité mesurée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2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Mertens (1874)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 1/p sur p ≤ 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 log log 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 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Hardy-Littlewood (1923)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π₂(x) paires de premiers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 x / log²x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Cramér (1936)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gₙ = pₙ₊₁ − pₙ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 log²(pₙ)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Monfette sg/xsg (2026)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asymétrie(N) mod 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 C / log(N)^(9/4)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9/4</w:t>
            </w:r>
          </w:p>
        </w:tc>
      </w:tr>
    </w:tbl>
    <w:p>
      <w:pPr>
        <w:spacing w:after="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6.1 Rapport avec Mertens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La décroissance de Mertens est en log log x (très lente). La loi d’asymétrie décroît en log₁₀(N)^(−9/4), soit bien plus rapidement. Ces deux lois capturent des niveaux différents de régularité : Mertens décrit la densité globale des premiers ; la présente loi décrit une brisure de symétrie locale entre sous-familles.</w:t>
      </w:r>
    </w:p>
    <w:p>
      <w:pPr>
        <w:spacing w:after="60" w:before="40"/>
      </w:pPr>
    </w:p>
    <w:p>
      <w:pPr>
        <w:pStyle w:val="Heading2"/>
      </w:pPr>
      <w:r>
        <w:rPr>
          <w:rFonts w:ascii="Arial" w:cs="Arial" w:eastAsia="Arial" w:hAnsi="Arial"/>
        </w:rPr>
        <w:t xml:space="preserve">6.2 Rapport avec Hardy-Littlewood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La constante C₂ ≈ 0.6601618 de Hardy-Littlewood entre dans la constante de Monfette via C_Monfette = (64/45)·C₂ ≈ 1.8778. L’exposant α = 9/4 &gt; 2 indique une décroissance plus rapide que la densité H-L. La présente loi constitue un raffinement modulaire de la conjecture H-L en distinguant, parmi les premiers, ceux dont la structure résiduelle engendre des paires de Sophie Germain (sg) de ceux qui n’en engendrent pas (xsg).</w:t>
      </w:r>
    </w:p>
    <w:p>
      <w:pPr>
        <w:spacing w:after="60" w:before="40"/>
      </w:pPr>
    </w:p>
    <w:p>
      <w:pPr>
        <w:pStyle w:val="Heading2"/>
      </w:pPr>
      <w:r>
        <w:rPr>
          <w:rFonts w:ascii="Arial" w:cs="Arial" w:eastAsia="Arial" w:hAnsi="Arial"/>
        </w:rPr>
        <w:t xml:space="preserve">6.3 Rapport avec Cramér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Le modèle de Cramér prédit des gaps en O(log² p). Notre exposant α = 9/4 &gt; 2 implique que l’asymétrie sg/xsg décroît plus vite que les gaps de Cramér ne croissent — cohérent avec une brisure de symétrie transitoire qui s’atténue, tandis que les gaps persistent à toute échelle.</w:t>
      </w:r>
    </w:p>
    <w:p>
      <w:pPr>
        <w:spacing w:after="60" w:before="120"/>
      </w:pP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7. Prédictions</w:t>
      </w:r>
    </w:p>
    <w:p>
      <w:pPr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asymétrie(N) = 57.8407 / log₁₀(N)^2.25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Géométrique close</w:t>
            </w:r>
          </w:p>
        </w:tc>
        <w:tc>
          <w:tcPr>
            <w:tcW w:type="dxa" w:w="1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MCO α=9/4</w:t>
            </w:r>
          </w:p>
        </w:tc>
        <w:tc>
          <w:tcPr>
            <w:tcW w:type="dxa" w:w="1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MCO α libre</w:t>
            </w:r>
          </w:p>
        </w:tc>
        <w:tc>
          <w:tcPr>
            <w:tcW w:type="dxa" w:w="1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MCO α=2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10^11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0.26248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0.26280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0.26300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0.27541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10^12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0.21581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0.21607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0.21631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0.23142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10^15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0.13063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0.13078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0.13105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0.14811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10^20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0.06838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0.06846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0.06868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0.08331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10^30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0.02746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0.02749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0.02763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0.03703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10^50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0.00870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0.00871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0.00877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0.01333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10^100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0.00183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0.00183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0.00185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0.00333</w:t>
            </w:r>
          </w:p>
        </w:tc>
      </w:tr>
    </w:tbl>
    <w:p>
      <w:pPr>
        <w:spacing w:after="6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La convergence asymétrie(N) → 0 pour N → ∞ établit numériquement que les orbites sg et xsg convergent vers la même densité asymptotique, conformément à l’équirépartition des premiers dans les résidus admissibles.</w:t>
      </w:r>
    </w:p>
    <w:p>
      <w:pPr>
        <w:spacing w:after="60" w:before="120"/>
      </w:pP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8. Portée et nouveauté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6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Première loi d’asymétrie sg/xsg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résultat antérieur ne quantifie l’asymétrie entre les orbites SG et non-SG dans le crible primoriel mod 30.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Paramètres géométriques sans ajustement libre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 = n_sg²/(n_sg+1) et C = n_xsg·log(P₃)² sont des prédictions pures de (ℤ/30ℤ)★, vérifiées à R² = 0.9981.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Raffinement de Hardy-Littlewood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loi distingue les premiers sg (générateurs de paires SG) des premiers xsg au niveau des orbites résiduelles.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Convergence sg ↔ xsg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décroissance vers 0 établit numériquement l’équirépartition asymptotique des deux classes.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Exposant α = 9/4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Prolonge la famille des lois logarithmiques en théorie des nombres avec un exposant rationnel issu de la combinatoire du groupe.</w:t>
            </w:r>
          </w:p>
        </w:tc>
      </w:tr>
    </w:tbl>
    <w:p>
      <w:pPr>
        <w:spacing w:after="60" w:before="120"/>
      </w:pP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9. Conclusion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3"/>
              <w:left w:val="single" w:color="2E4A7A" w:sz="3"/>
              <w:bottom w:val="single" w:color="2E4A7A" w:sz="3"/>
              <w:right w:val="single" w:color="2E4A7A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560"/>
                <w:sz w:val="24"/>
                <w:szCs w:val="24"/>
              </w:rPr>
              <w:t xml:space="preserve">asymétrie(N) = 5 · log(30)² / log₁₀(N)^(9/4)  ≈  57.8407 / log₁₀(N)^2.25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5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0.9981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Résidus max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±1.7 %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Paramètres libres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Plage validée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[10⁸, 10¹¹] — 3 ordres de grandeur</w:t>
            </w:r>
          </w:p>
        </w:tc>
      </w:tr>
    </w:tbl>
    <w:p>
      <w:pPr>
        <w:spacing w:after="6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La loi d’asymétrie de Monfette est entièrement déterminée par la géométrie de (ℤ/30ℤ)★, sans paramètre libre. Elle constitue une première loi d’asymétrie entre sous-familles de nombres premiers dans le crible primoriel, un raffinement de Hardy-Littlewood au niveau des orbites résiduelles, et une preuve numérique de la convergence asymptotique sg ↔ xsg.</w:t>
      </w:r>
    </w:p>
    <w:p>
      <w:pPr>
        <w:spacing w:after="60" w:before="80"/>
      </w:pPr>
    </w:p>
    <w:p>
      <w:pPr>
        <w:pBdr>
          <w:left w:val="single" w:color="2E4A7A" w:sz="6" w:space="8"/>
        </w:pBd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Étape suivante : </w:t>
      </w:r>
      <w:r>
        <w:rPr>
          <w:rFonts w:ascii="Arial" w:cs="Arial" w:eastAsia="Arial" w:hAnsi="Arial"/>
          <w:sz w:val="22"/>
          <w:szCs w:val="22"/>
        </w:rPr>
        <w:t xml:space="preserve">démonstration analytique de α = 9/4 à partir des propriétés de (ℤ/30ℤ)★ et de la théorie des caractères de Dirichlet.</w:t>
      </w:r>
    </w:p>
    <w:p>
      <w:pPr>
        <w:spacing w:after="60" w:before="120"/>
      </w:pPr>
    </w:p>
    <w:p>
      <w:pPr>
        <w:pBdr>
          <w:top w:val="single" w:color="CCCCCC" w:sz="2" w:space="8"/>
        </w:pBdr>
        <w:spacing w:after="40" w:before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Loi p-e Monfette · Michel Monfette · 11 mai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Michel Monfette — 11 mai 2026  |  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2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Loi p-e Monfette — Loi d’asymétrie sg/xsg dans (ℤ/30ℤ)★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A7A" w:sz="4" w:space="4"/>
      </w:pBdr>
      <w:spacing w:after="180" w:before="360"/>
      <w:outlineLvl w:val="0"/>
    </w:pPr>
    <w:rPr>
      <w:rFonts w:ascii="Arial" w:cs="Arial" w:eastAsia="Arial" w:hAnsi="Arial"/>
      <w:b/>
      <w:bCs/>
      <w:color w:val="1A35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D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2026-05-13T04:27:58.306Z</dcterms:created>
  <dcterms:modified xsi:type="dcterms:W3CDTF">2026-05-13T04:27:58.306Z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