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Indo-Swiss Joint Research Programme 2026 (MoES &amp; ICSSR)</w:t>
      </w:r>
    </w:p>
    <w:p>
      <w:r>
        <w:t>NGO: Smoke Test NGO International</w:t>
      </w:r>
    </w:p>
    <w:p>
      <w:r>
        <w:t>Generated At (UTC): 2026-03-24T18:58:13.279670+00:00</w:t>
      </w:r>
    </w:p>
    <w:p>
      <w:r>
        <w:t>Proposal ID: 3b14c7c8-12f4-4e07-a6fc-90d9bc8b19d4</w:t>
      </w:r>
    </w:p>
    <w:p>
      <w:r>
        <w:t>Version: 1</w:t>
      </w:r>
    </w:p>
    <w:p>
      <w:r>
        <w:br w:type="page"/>
      </w:r>
    </w:p>
    <w:p>
      <w:pPr>
        <w:pStyle w:val="Heading1"/>
      </w:pPr>
      <w:r>
        <w:t>Research Plan</w:t>
      </w:r>
    </w:p>
    <w:p>
      <w:r>
        <w:t>To be completed manually</w:t>
      </w:r>
    </w:p>
    <w:p>
      <w:pPr>
        <w:pStyle w:val="Heading1"/>
      </w:pPr>
      <w:r>
        <w:t>CV and Major Scientific Achievements</w:t>
      </w:r>
    </w:p>
    <w:p>
      <w:r>
        <w:t>To be completed manually</w:t>
      </w:r>
    </w:p>
    <w:p>
      <w:pPr>
        <w:pStyle w:val="Heading1"/>
      </w:pPr>
      <w:r>
        <w:t>Research Output List</w:t>
      </w:r>
    </w:p>
    <w:p>
      <w:r>
        <w:t>To be completed manually</w:t>
      </w:r>
    </w:p>
    <w:p>
      <w:pPr>
        <w:pStyle w:val="Heading1"/>
      </w:pPr>
      <w:r>
        <w:t>Budget and Justification</w:t>
      </w:r>
    </w:p>
    <w:p>
      <w:r>
        <w:t>Swiss side budget should be structured to support a feasible bilateral research programme and entered in the SNSF budget calculator, capped at CHF 100,000 per year with VAT included where not recoverable. Personnel should be the principal cost line, covering the researchers needed to deliver the approved work plan, such as PhD-level or postdoctoral research time and essential technical or project support. This programme places strong emphasis on scientific excellence, methodological rigor, and genuine Swiss-Indian collaboration; accordingly, personnel costs should be tied directly to research design, field coordination, data collection and analysis, publication preparation, and joint consortium management rather than general institutional overhead.</w:t>
        <w:br/>
        <w:br/>
        <w:t>Materials and equipment should be limited to items that are indispensable for the research activities and proportionate to the project scope. Given programme guidance that budgets dominated by equipment are viewed negatively, any request in this category should be modest and clearly linked to specific methodological needs. Infrastructure access, laboratory or platform use, and computing or data costs should likewise be justified as necessary for analysis, modelling, storage, or secure handling of project data.</w:t>
        <w:br/>
        <w:br/>
        <w:t>Travel and collaboration costs should reflect genuine bilateral engagement between Swiss and Indian teams, including project meetings, coordinated fieldwork where relevant, researcher mobility, and dissemination at appropriate scientific conferences. These costs should demonstrate active co-production of research rather than parallel implementation. Data management and open access publication costs are appropriate where they support compliance with SNSF expectations for research stewardship and dissemination.</w:t>
        <w:br/>
        <w:br/>
        <w:t>For Smoke Test NGO International specifically, no Swiss-side line-item budget can be credibly itemised from the available information because the organisation is not eligible to apply as lead under this call and no Swiss academic lead institution, salary scales, staffing plan, equipment list, travel schedule, or work-package allocation has been provided. If included at all, the NGO's role would need to be limited to an essential non-commercial partner contribution within a wider academic consortium. The organisation's operational experience in climate-resilient rural programming may help justify a narrowly defined field engagement role; for example, its USAID-funded Climate-Smart Farming Initiative in Western Kenya trained 2,000 smallholder farmers in drought-resistant crop varieties and water harvesting techniques using structured implementation systems that could inform community interface arrangements if an eligible academic consortium requests such support. However, this does not provide a basis for constructing the required Swiss-side SNSF budget.</w:t>
        <w:br/>
        <w:br/>
        <w:t>The Indian-side budget must be prepared separately by the eligible Indian partner in accordance with MoES rules.</w:t>
      </w:r>
    </w:p>
    <w:p>
      <w:pPr>
        <w:pStyle w:val="Heading1"/>
      </w:pPr>
      <w:r>
        <w:t>Data Management Plan (Draft)</w:t>
      </w:r>
    </w:p>
    <w:p>
      <w:r>
        <w:t>The project will manage research data in line with good research practice, with clear procedures for collection, documentation, secure storage, controlled access, and long-term preservation. As this is a draft Data Management Plan at application stage, the final data architecture, repository selection, and access schedule will be confirmed by the eligible academic lead institutions and aligned with funder requirements.</w:t>
        <w:br/>
        <w:br/>
        <w:t>The project is expected to generate several categories of data relevant to climate- and hazard-related applied research. These may include quantitative field data, georeferenced observations, survey responses, interview or focus group notes where community perspectives are collected, monitoring datasets generated through periodic field visits, and project documentation such as data collection tools, codebooks, protocols, consent templates, and analysis files. Where appropriate, derived datasets may also be produced through cleaning, aggregation, anonymisation, or spatial analysis. No biological samples or other physical specimens are currently defined in the available project information; if any are introduced at full proposal stage, they will be covered by specific handling, storage, and access procedures.</w:t>
        <w:br/>
        <w:br/>
        <w:t>All datasets will be accompanied by sufficient metadata to allow verification, interpretation, and reuse by the research team and authorised secondary users. At minimum, metadata will record dataset title, purpose, methodology, date of collection, geographic coverage, variable definitions, units of measurement, file version, responsible institution or staff member, and any restrictions on use. Data dictionaries and standard operating procedures will be maintained for all structured datasets. Version control will be applied so that cleaned and analysed files can be traced back to source files.</w:t>
        <w:br/>
        <w:br/>
        <w:t>Data quality assurance will be built into collection and management processes. Smoke Test NGO International already uses Theory of Change frameworks with quarterly data collection via KoBoToolbox and annual external evaluations; this provides an established basis for structured digital capture, routine validation checks, and documented indicator tracking. Building on this practice, field data will be reviewed for completeness and consistency at regular intervals. Any corrections to raw data will be logged to preserve an audit trail.</w:t>
        <w:br/>
        <w:br/>
        <w:t>Access to data will follow the principles of confidentiality, legitimate research use, and proportionate openness. Personal data or indirectly identifiable community-level information will be restricted to authorised team members only and stored in secure password-protected systems. Identifiers will be removed or coded before wider sharing wherever possible. If interviews or surveys involve women, youth, or smallholder farmers from participating communities, informed consent procedures will specify how information may be used in analysis, reporting, joint publications, and future archiving. Sensitive location information or any material that could expose individuals or communities to risk will not be released openly.</w:t>
        <w:br/>
        <w:br/>
        <w:t>Data sharing will distinguish between open research outputs and controlled-access primary materials. Non-sensitive aggregated datasets, methodological documentation, codebooks, and where relevant reproducible analysis files should be shared through an appropriate institutional or disciplinary repository selected by the academic lead partners. Data that contain personal information, confidential community inputs, or partner-restricted materials will only be shared in anonymised form or under managed access conditions. Intellectual property arrangements for jointly produced data and outputs will be agreed among consortium partners at project outset to reflect genuine bilateral collaboration and authorship responsibilities.</w:t>
        <w:br/>
        <w:br/>
        <w:t>During implementation, working files will be stored in secure backed-up environments with role-based access controls. Master copies of key datasets should be retained separately from working copies used for cleaning and analysis. Regular backups will be scheduled to reduce risk of loss. At project completion, final curated datasets and supporting documentation will be archived in a stable repository capable of preserving access beyond the grant period. Retention periods and preservation formats will follow the policies of the lead academic institutions and any applicable national legal requirements.</w:t>
        <w:br/>
        <w:br/>
        <w:t>This draft plan is intended to ensure that project data remain accurate, secure, well documented, ethically managed, and accessible for future scientific use where this can be done responsibly.</w:t>
      </w:r>
    </w:p>
    <w:p>
      <w:pPr>
        <w:pStyle w:val="Heading1"/>
      </w:pPr>
      <w:r>
        <w:t>Collaboration Agreement</w:t>
      </w:r>
    </w:p>
    <w:p>
      <w:r>
        <w:t>To be completed manually</w:t>
      </w:r>
    </w:p>
    <w:p>
      <w:r>
        <w:br w:type="page"/>
      </w:r>
    </w:p>
    <w:p>
      <w:pPr>
        <w:pStyle w:val="Heading1"/>
      </w:pPr>
      <w:r>
        <w:t>Assumptions Appendix</w:t>
      </w:r>
    </w:p>
    <w:p>
      <w:pPr>
        <w:pStyle w:val="ListBullet"/>
      </w:pPr>
      <w:r>
        <w:t>No named Swiss academic lead institution has been identified.</w:t>
      </w:r>
    </w:p>
    <w:p>
      <w:pPr>
        <w:pStyle w:val="ListBullet"/>
      </w:pPr>
      <w:r>
        <w:t>No Swiss-side salary scales, staff effort allocations, or line-item cost estimates were provided.</w:t>
      </w:r>
    </w:p>
    <w:p>
      <w:pPr>
        <w:pStyle w:val="ListBullet"/>
      </w:pPr>
      <w:r>
        <w:t>No equipment list, travel plan, conference plan, data management costings, or publication costings were provided.</w:t>
      </w:r>
    </w:p>
    <w:p>
      <w:pPr>
        <w:pStyle w:val="ListBullet"/>
      </w:pPr>
      <w:r>
        <w:t>Smoke Test NGO International would participate only as a non-commercial project partner if included in a compliant consortium.</w:t>
      </w:r>
    </w:p>
    <w:p>
      <w:pPr>
        <w:pStyle w:val="ListBullet"/>
      </w:pPr>
      <w:r>
        <w:t>The final proposal would involve eligible Swiss and Indian academic lead institutions that will determine repository selection and formal institutional data governance arrangements.</w:t>
      </w:r>
    </w:p>
    <w:p>
      <w:pPr>
        <w:pStyle w:val="ListBullet"/>
      </w:pPr>
      <w:r>
        <w:t>The project may generate quantitative field data, georeferenced observations, surveys or qualitative community inputs because the exact study design is not provided in the available inputs.</w:t>
      </w:r>
    </w:p>
    <w:p>
      <w:pPr>
        <w:pStyle w:val="ListBullet"/>
      </w:pPr>
      <w:r>
        <w:t>If human participants are involved in the research activities proposed by the academic consortium partner(s), informed consent and anonymisation procedures will apply.</w:t>
      </w:r>
    </w:p>
    <w:p>
      <w:pPr>
        <w:pStyle w:val="ListBullet"/>
      </w:pPr>
      <w:r>
        <w:t>No physical samples are currently specified; if introduced later they would require additional handling procedures.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