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Southbank Community Project — Funding Proposal</w:t>
      </w:r>
    </w:p>
    <w:p>
      <w:r>
        <w:t>This document is intentionally dense filler designed to stress proposal extraction toward a dual-attempt timeout degrade (Track 3 confirming walk).</w:t>
      </w:r>
    </w:p>
    <w:p>
      <w:pPr>
        <w:pStyle w:val="Heading2"/>
      </w:pPr>
      <w:r>
        <w:t>Objectives</w:t>
      </w:r>
    </w:p>
    <w:p>
      <w:r>
        <w:t>Objective 1: Increase community participation in local services.</w:t>
      </w:r>
    </w:p>
    <w:p>
      <w:pPr>
        <w:pStyle w:val="Heading2"/>
      </w:pPr>
      <w:r>
        <w:t>Activities</w:t>
      </w:r>
    </w:p>
    <w:p>
      <w:r>
        <w:t>Activity 1: Weekly drop-in sessions with volunteer facilitators.</w:t>
      </w:r>
    </w:p>
    <w:p>
      <w:r>
        <w:t>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 monitoring language, and non-structured prose without clean indicator tables. FILLER_BLOCK for timeout inducement. Repeat community project narrative,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