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GOLDEN ANNUAL REVIEW</w:t>
      </w:r>
    </w:p>
    <w:p>
      <w:pPr>
        <w:pStyle w:val="Heading1"/>
      </w:pPr>
      <w:r>
        <w:t>Synthetic test material notice</w:t>
      </w:r>
    </w:p>
    <w:p>
      <w:r>
        <w:t>This is a fully fictional FCDO-style Annual Review fixture. All organisations, people, project identifiers, places below national level, schools, partners, figures, and beneficiary data are invented for testing purposes only.</w:t>
      </w:r>
    </w:p>
    <w:p>
      <w:pPr>
        <w:pStyle w:val="Heading1"/>
      </w:pPr>
      <w:r>
        <w:t>Assumption flag</w:t>
      </w:r>
    </w:p>
    <w:p>
      <w:r>
        <w:t>No standalone project-specific FCDO template file was visible in the accessible attachments. This fixture therefore uses an FCDO-style Annual Review skeleton: programme summary, outcome assessment, output scoring using A++ to C, logframe-based output and outcome assessment, delivery against plan, value for money, risk, safeguarding, equality/disability, lessons, and recommendations.</w:t>
      </w:r>
    </w:p>
    <w:p>
      <w:pPr>
        <w:pStyle w:val="Heading1"/>
      </w:pPr>
      <w:r>
        <w:t>Annual Review Summary Sheet</w:t>
      </w:r>
    </w:p>
    <w:tbl>
      <w:tblPr>
        <w:tblStyle w:val="TableGrid"/>
        <w:tblW w:type="auto" w:w="0"/>
        <w:jc w:val="center"/>
        <w:tblLayout w:type="autofit"/>
        <w:tblLook w:firstColumn="1" w:firstRow="1" w:lastColumn="0" w:lastRow="0" w:noHBand="0" w:noVBand="1" w:val="04A0"/>
      </w:tblPr>
      <w:tblGrid>
        <w:gridCol w:w="7769"/>
        <w:gridCol w:w="7769"/>
      </w:tblGrid>
      <w:tr>
        <w:tc>
          <w:tcPr>
            <w:tcW w:type="dxa" w:w="7769"/>
            <w:vAlign w:val="top"/>
            <w:shd w:fill="D9EAF7"/>
          </w:tcPr>
          <w:p>
            <w:pPr>
              <w:jc w:val="left"/>
            </w:pPr>
            <w:r/>
            <w:r>
              <w:rPr>
                <w:rFonts w:ascii="Arial" w:hAnsi="Arial"/>
                <w:b/>
                <w:sz w:val="16"/>
              </w:rPr>
              <w:t>Field</w:t>
            </w:r>
          </w:p>
        </w:tc>
        <w:tc>
          <w:tcPr>
            <w:tcW w:type="dxa" w:w="7769"/>
            <w:vAlign w:val="top"/>
            <w:shd w:fill="D9EAF7"/>
          </w:tcPr>
          <w:p>
            <w:pPr>
              <w:jc w:val="left"/>
            </w:pPr>
            <w:r/>
            <w:r>
              <w:rPr>
                <w:rFonts w:ascii="Arial" w:hAnsi="Arial"/>
                <w:b/>
                <w:sz w:val="16"/>
              </w:rPr>
              <w:t>Entry</w:t>
            </w:r>
          </w:p>
        </w:tc>
      </w:tr>
      <w:tr>
        <w:tc>
          <w:tcPr>
            <w:tcW w:type="dxa" w:w="7769"/>
            <w:vAlign w:val="top"/>
          </w:tcPr>
          <w:p>
            <w:pPr>
              <w:jc w:val="left"/>
            </w:pPr>
            <w:r/>
            <w:r>
              <w:rPr>
                <w:rFonts w:ascii="Arial" w:hAnsi="Arial"/>
                <w:b w:val="0"/>
                <w:sz w:val="16"/>
              </w:rPr>
              <w:t>Programme title</w:t>
            </w:r>
          </w:p>
        </w:tc>
        <w:tc>
          <w:tcPr>
            <w:tcW w:type="dxa" w:w="7769"/>
            <w:vAlign w:val="top"/>
          </w:tcPr>
          <w:p>
            <w:pPr>
              <w:jc w:val="left"/>
            </w:pPr>
            <w:r/>
            <w:r>
              <w:rPr>
                <w:rFonts w:ascii="Arial" w:hAnsi="Arial"/>
                <w:b w:val="0"/>
                <w:sz w:val="16"/>
              </w:rPr>
              <w:t>Safe Schools, Strong Futures</w:t>
            </w:r>
          </w:p>
        </w:tc>
      </w:tr>
      <w:tr>
        <w:tc>
          <w:tcPr>
            <w:tcW w:type="dxa" w:w="7769"/>
            <w:vAlign w:val="top"/>
          </w:tcPr>
          <w:p>
            <w:pPr>
              <w:jc w:val="left"/>
            </w:pPr>
            <w:r/>
            <w:r>
              <w:rPr>
                <w:rFonts w:ascii="Arial" w:hAnsi="Arial"/>
                <w:b w:val="0"/>
                <w:sz w:val="16"/>
              </w:rPr>
              <w:t>FCDO programme reference</w:t>
            </w:r>
          </w:p>
        </w:tc>
        <w:tc>
          <w:tcPr>
            <w:tcW w:type="dxa" w:w="7769"/>
            <w:vAlign w:val="top"/>
          </w:tcPr>
          <w:p>
            <w:pPr>
              <w:jc w:val="left"/>
            </w:pPr>
            <w:r/>
            <w:r>
              <w:rPr>
                <w:rFonts w:ascii="Arial" w:hAnsi="Arial"/>
                <w:b w:val="0"/>
                <w:sz w:val="16"/>
              </w:rPr>
              <w:t>FIC-NAM-EDU-0447</w:t>
            </w:r>
          </w:p>
        </w:tc>
      </w:tr>
      <w:tr>
        <w:tc>
          <w:tcPr>
            <w:tcW w:type="dxa" w:w="7769"/>
            <w:vAlign w:val="top"/>
          </w:tcPr>
          <w:p>
            <w:pPr>
              <w:jc w:val="left"/>
            </w:pPr>
            <w:r/>
            <w:r>
              <w:rPr>
                <w:rFonts w:ascii="Arial" w:hAnsi="Arial"/>
                <w:b w:val="0"/>
                <w:sz w:val="16"/>
              </w:rPr>
              <w:t>Country / region</w:t>
            </w:r>
          </w:p>
        </w:tc>
        <w:tc>
          <w:tcPr>
            <w:tcW w:type="dxa" w:w="7769"/>
            <w:vAlign w:val="top"/>
          </w:tcPr>
          <w:p>
            <w:pPr>
              <w:jc w:val="left"/>
            </w:pPr>
            <w:r/>
            <w:r>
              <w:rPr>
                <w:rFonts w:ascii="Arial" w:hAnsi="Arial"/>
                <w:b w:val="0"/>
                <w:sz w:val="16"/>
              </w:rPr>
              <w:t>Nambara, Lake Kalo and North Karu regions - fictional</w:t>
            </w:r>
          </w:p>
        </w:tc>
      </w:tr>
      <w:tr>
        <w:tc>
          <w:tcPr>
            <w:tcW w:type="dxa" w:w="7769"/>
            <w:vAlign w:val="top"/>
          </w:tcPr>
          <w:p>
            <w:pPr>
              <w:jc w:val="left"/>
            </w:pPr>
            <w:r/>
            <w:r>
              <w:rPr>
                <w:rFonts w:ascii="Arial" w:hAnsi="Arial"/>
                <w:b w:val="0"/>
                <w:sz w:val="16"/>
              </w:rPr>
              <w:t>Lead implementing partner</w:t>
            </w:r>
          </w:p>
        </w:tc>
        <w:tc>
          <w:tcPr>
            <w:tcW w:type="dxa" w:w="7769"/>
            <w:vAlign w:val="top"/>
          </w:tcPr>
          <w:p>
            <w:pPr>
              <w:jc w:val="left"/>
            </w:pPr>
            <w:r/>
            <w:r>
              <w:rPr>
                <w:rFonts w:ascii="Arial" w:hAnsi="Arial"/>
                <w:b w:val="0"/>
                <w:sz w:val="16"/>
              </w:rPr>
              <w:t>CedarBridge International, UK-registered INGO - fictional</w:t>
            </w:r>
          </w:p>
        </w:tc>
      </w:tr>
      <w:tr>
        <w:tc>
          <w:tcPr>
            <w:tcW w:type="dxa" w:w="7769"/>
            <w:vAlign w:val="top"/>
          </w:tcPr>
          <w:p>
            <w:pPr>
              <w:jc w:val="left"/>
            </w:pPr>
            <w:r/>
            <w:r>
              <w:rPr>
                <w:rFonts w:ascii="Arial" w:hAnsi="Arial"/>
                <w:b w:val="0"/>
                <w:sz w:val="16"/>
              </w:rPr>
              <w:t>Local implementing partners</w:t>
            </w:r>
          </w:p>
        </w:tc>
        <w:tc>
          <w:tcPr>
            <w:tcW w:type="dxa" w:w="7769"/>
            <w:vAlign w:val="top"/>
          </w:tcPr>
          <w:p>
            <w:pPr>
              <w:jc w:val="left"/>
            </w:pPr>
            <w:r/>
            <w:r>
              <w:rPr>
                <w:rFonts w:ascii="Arial" w:hAnsi="Arial"/>
                <w:b w:val="0"/>
                <w:sz w:val="16"/>
              </w:rPr>
              <w:t>Kalo Learning Network; Amara Water and Sanitation Trust - fictional</w:t>
            </w:r>
          </w:p>
        </w:tc>
      </w:tr>
      <w:tr>
        <w:tc>
          <w:tcPr>
            <w:tcW w:type="dxa" w:w="7769"/>
            <w:vAlign w:val="top"/>
          </w:tcPr>
          <w:p>
            <w:pPr>
              <w:jc w:val="left"/>
            </w:pPr>
            <w:r/>
            <w:r>
              <w:rPr>
                <w:rFonts w:ascii="Arial" w:hAnsi="Arial"/>
                <w:b w:val="0"/>
                <w:sz w:val="16"/>
              </w:rPr>
              <w:t>Sector</w:t>
            </w:r>
          </w:p>
        </w:tc>
        <w:tc>
          <w:tcPr>
            <w:tcW w:type="dxa" w:w="7769"/>
            <w:vAlign w:val="top"/>
          </w:tcPr>
          <w:p>
            <w:pPr>
              <w:jc w:val="left"/>
            </w:pPr>
            <w:r/>
            <w:r>
              <w:rPr>
                <w:rFonts w:ascii="Arial" w:hAnsi="Arial"/>
                <w:b w:val="0"/>
                <w:sz w:val="16"/>
              </w:rPr>
              <w:t>Girls' education, school WASH, safeguarding</w:t>
            </w:r>
          </w:p>
        </w:tc>
      </w:tr>
      <w:tr>
        <w:tc>
          <w:tcPr>
            <w:tcW w:type="dxa" w:w="7769"/>
            <w:vAlign w:val="top"/>
          </w:tcPr>
          <w:p>
            <w:pPr>
              <w:jc w:val="left"/>
            </w:pPr>
            <w:r/>
            <w:r>
              <w:rPr>
                <w:rFonts w:ascii="Arial" w:hAnsi="Arial"/>
                <w:b w:val="0"/>
                <w:sz w:val="16"/>
              </w:rPr>
              <w:t>Programme duration</w:t>
            </w:r>
          </w:p>
        </w:tc>
        <w:tc>
          <w:tcPr>
            <w:tcW w:type="dxa" w:w="7769"/>
            <w:vAlign w:val="top"/>
          </w:tcPr>
          <w:p>
            <w:pPr>
              <w:jc w:val="left"/>
            </w:pPr>
            <w:r/>
            <w:r>
              <w:rPr>
                <w:rFonts w:ascii="Arial" w:hAnsi="Arial"/>
                <w:b w:val="0"/>
                <w:sz w:val="16"/>
              </w:rPr>
              <w:t>1 April 2024 to 31 March 2028</w:t>
            </w:r>
          </w:p>
        </w:tc>
      </w:tr>
      <w:tr>
        <w:tc>
          <w:tcPr>
            <w:tcW w:type="dxa" w:w="7769"/>
            <w:vAlign w:val="top"/>
          </w:tcPr>
          <w:p>
            <w:pPr>
              <w:jc w:val="left"/>
            </w:pPr>
            <w:r/>
            <w:r>
              <w:rPr>
                <w:rFonts w:ascii="Arial" w:hAnsi="Arial"/>
                <w:b w:val="0"/>
                <w:sz w:val="16"/>
              </w:rPr>
              <w:t>Total approved budget</w:t>
            </w:r>
          </w:p>
        </w:tc>
        <w:tc>
          <w:tcPr>
            <w:tcW w:type="dxa" w:w="7769"/>
            <w:vAlign w:val="top"/>
          </w:tcPr>
          <w:p>
            <w:pPr>
              <w:jc w:val="left"/>
            </w:pPr>
            <w:r/>
            <w:r>
              <w:rPr>
                <w:rFonts w:ascii="Arial" w:hAnsi="Arial"/>
                <w:b w:val="0"/>
                <w:sz w:val="16"/>
              </w:rPr>
              <w:t>£3,180,000</w:t>
            </w:r>
          </w:p>
        </w:tc>
      </w:tr>
      <w:tr>
        <w:tc>
          <w:tcPr>
            <w:tcW w:type="dxa" w:w="7769"/>
            <w:vAlign w:val="top"/>
          </w:tcPr>
          <w:p>
            <w:pPr>
              <w:jc w:val="left"/>
            </w:pPr>
            <w:r/>
            <w:r>
              <w:rPr>
                <w:rFonts w:ascii="Arial" w:hAnsi="Arial"/>
                <w:b w:val="0"/>
                <w:sz w:val="16"/>
              </w:rPr>
              <w:t>Reporting year reviewed</w:t>
            </w:r>
          </w:p>
        </w:tc>
        <w:tc>
          <w:tcPr>
            <w:tcW w:type="dxa" w:w="7769"/>
            <w:vAlign w:val="top"/>
          </w:tcPr>
          <w:p>
            <w:pPr>
              <w:jc w:val="left"/>
            </w:pPr>
            <w:r/>
            <w:r>
              <w:rPr>
                <w:rFonts w:ascii="Arial" w:hAnsi="Arial"/>
                <w:b w:val="0"/>
                <w:sz w:val="16"/>
              </w:rPr>
              <w:t>Year 2 of 4</w:t>
            </w:r>
          </w:p>
        </w:tc>
      </w:tr>
      <w:tr>
        <w:tc>
          <w:tcPr>
            <w:tcW w:type="dxa" w:w="7769"/>
            <w:vAlign w:val="top"/>
          </w:tcPr>
          <w:p>
            <w:pPr>
              <w:jc w:val="left"/>
            </w:pPr>
            <w:r/>
            <w:r>
              <w:rPr>
                <w:rFonts w:ascii="Arial" w:hAnsi="Arial"/>
                <w:b w:val="0"/>
                <w:sz w:val="16"/>
              </w:rPr>
              <w:t>Review period</w:t>
            </w:r>
          </w:p>
        </w:tc>
        <w:tc>
          <w:tcPr>
            <w:tcW w:type="dxa" w:w="7769"/>
            <w:vAlign w:val="top"/>
          </w:tcPr>
          <w:p>
            <w:pPr>
              <w:jc w:val="left"/>
            </w:pPr>
            <w:r/>
            <w:r>
              <w:rPr>
                <w:rFonts w:ascii="Arial" w:hAnsi="Arial"/>
                <w:b w:val="0"/>
                <w:sz w:val="16"/>
              </w:rPr>
              <w:t>1 April 2025 to 31 March 2026</w:t>
            </w:r>
          </w:p>
        </w:tc>
      </w:tr>
      <w:tr>
        <w:tc>
          <w:tcPr>
            <w:tcW w:type="dxa" w:w="7769"/>
            <w:vAlign w:val="top"/>
          </w:tcPr>
          <w:p>
            <w:pPr>
              <w:jc w:val="left"/>
            </w:pPr>
            <w:r/>
            <w:r>
              <w:rPr>
                <w:rFonts w:ascii="Arial" w:hAnsi="Arial"/>
                <w:b w:val="0"/>
                <w:sz w:val="16"/>
              </w:rPr>
              <w:t>Annual Review date</w:t>
            </w:r>
          </w:p>
        </w:tc>
        <w:tc>
          <w:tcPr>
            <w:tcW w:type="dxa" w:w="7769"/>
            <w:vAlign w:val="top"/>
          </w:tcPr>
          <w:p>
            <w:pPr>
              <w:jc w:val="left"/>
            </w:pPr>
            <w:r/>
            <w:r>
              <w:rPr>
                <w:rFonts w:ascii="Arial" w:hAnsi="Arial"/>
                <w:b w:val="0"/>
                <w:sz w:val="16"/>
              </w:rPr>
              <w:t>15 May 2026</w:t>
            </w:r>
          </w:p>
        </w:tc>
      </w:tr>
      <w:tr>
        <w:tc>
          <w:tcPr>
            <w:tcW w:type="dxa" w:w="7769"/>
            <w:vAlign w:val="top"/>
          </w:tcPr>
          <w:p>
            <w:pPr>
              <w:jc w:val="left"/>
            </w:pPr>
            <w:r/>
            <w:r>
              <w:rPr>
                <w:rFonts w:ascii="Arial" w:hAnsi="Arial"/>
                <w:b w:val="0"/>
                <w:sz w:val="16"/>
              </w:rPr>
              <w:t>Year 2 approved budget</w:t>
            </w:r>
          </w:p>
        </w:tc>
        <w:tc>
          <w:tcPr>
            <w:tcW w:type="dxa" w:w="7769"/>
            <w:vAlign w:val="top"/>
          </w:tcPr>
          <w:p>
            <w:pPr>
              <w:jc w:val="left"/>
            </w:pPr>
            <w:r/>
            <w:r>
              <w:rPr>
                <w:rFonts w:ascii="Arial" w:hAnsi="Arial"/>
                <w:b w:val="0"/>
                <w:sz w:val="16"/>
              </w:rPr>
              <w:t>£870,000</w:t>
            </w:r>
          </w:p>
        </w:tc>
      </w:tr>
      <w:tr>
        <w:tc>
          <w:tcPr>
            <w:tcW w:type="dxa" w:w="7769"/>
            <w:vAlign w:val="top"/>
          </w:tcPr>
          <w:p>
            <w:pPr>
              <w:jc w:val="left"/>
            </w:pPr>
            <w:r/>
            <w:r>
              <w:rPr>
                <w:rFonts w:ascii="Arial" w:hAnsi="Arial"/>
                <w:b w:val="0"/>
                <w:sz w:val="16"/>
              </w:rPr>
              <w:t>Year 2 expenditure</w:t>
            </w:r>
          </w:p>
        </w:tc>
        <w:tc>
          <w:tcPr>
            <w:tcW w:type="dxa" w:w="7769"/>
            <w:vAlign w:val="top"/>
          </w:tcPr>
          <w:p>
            <w:pPr>
              <w:jc w:val="left"/>
            </w:pPr>
            <w:r/>
            <w:r>
              <w:rPr>
                <w:rFonts w:ascii="Arial" w:hAnsi="Arial"/>
                <w:b w:val="0"/>
                <w:sz w:val="16"/>
              </w:rPr>
              <w:t>£812,600</w:t>
            </w:r>
          </w:p>
        </w:tc>
      </w:tr>
      <w:tr>
        <w:tc>
          <w:tcPr>
            <w:tcW w:type="dxa" w:w="7769"/>
            <w:vAlign w:val="top"/>
          </w:tcPr>
          <w:p>
            <w:pPr>
              <w:jc w:val="left"/>
            </w:pPr>
            <w:r/>
            <w:r>
              <w:rPr>
                <w:rFonts w:ascii="Arial" w:hAnsi="Arial"/>
                <w:b w:val="0"/>
                <w:sz w:val="16"/>
              </w:rPr>
              <w:t>Year 2 spend against budget</w:t>
            </w:r>
          </w:p>
        </w:tc>
        <w:tc>
          <w:tcPr>
            <w:tcW w:type="dxa" w:w="7769"/>
            <w:vAlign w:val="top"/>
          </w:tcPr>
          <w:p>
            <w:pPr>
              <w:jc w:val="left"/>
            </w:pPr>
            <w:r/>
            <w:r>
              <w:rPr>
                <w:rFonts w:ascii="Arial" w:hAnsi="Arial"/>
                <w:b w:val="0"/>
                <w:sz w:val="16"/>
              </w:rPr>
              <w:t>93.4%</w:t>
            </w:r>
          </w:p>
        </w:tc>
      </w:tr>
      <w:tr>
        <w:tc>
          <w:tcPr>
            <w:tcW w:type="dxa" w:w="7769"/>
            <w:vAlign w:val="top"/>
          </w:tcPr>
          <w:p>
            <w:pPr>
              <w:jc w:val="left"/>
            </w:pPr>
            <w:r/>
            <w:r>
              <w:rPr>
                <w:rFonts w:ascii="Arial" w:hAnsi="Arial"/>
                <w:b w:val="0"/>
                <w:sz w:val="16"/>
              </w:rPr>
              <w:t>Cumulative expenditure to 31 March 2026</w:t>
            </w:r>
          </w:p>
        </w:tc>
        <w:tc>
          <w:tcPr>
            <w:tcW w:type="dxa" w:w="7769"/>
            <w:vAlign w:val="top"/>
          </w:tcPr>
          <w:p>
            <w:pPr>
              <w:jc w:val="left"/>
            </w:pPr>
            <w:r/>
            <w:r>
              <w:rPr>
                <w:rFonts w:ascii="Arial" w:hAnsi="Arial"/>
                <w:b w:val="0"/>
                <w:sz w:val="16"/>
              </w:rPr>
              <w:t>£1,481,500</w:t>
            </w:r>
          </w:p>
        </w:tc>
      </w:tr>
      <w:tr>
        <w:tc>
          <w:tcPr>
            <w:tcW w:type="dxa" w:w="7769"/>
            <w:vAlign w:val="top"/>
          </w:tcPr>
          <w:p>
            <w:pPr>
              <w:jc w:val="left"/>
            </w:pPr>
            <w:r/>
            <w:r>
              <w:rPr>
                <w:rFonts w:ascii="Arial" w:hAnsi="Arial"/>
                <w:b w:val="0"/>
                <w:sz w:val="16"/>
              </w:rPr>
              <w:t>Cumulative spend against total programme budget</w:t>
            </w:r>
          </w:p>
        </w:tc>
        <w:tc>
          <w:tcPr>
            <w:tcW w:type="dxa" w:w="7769"/>
            <w:vAlign w:val="top"/>
          </w:tcPr>
          <w:p>
            <w:pPr>
              <w:jc w:val="left"/>
            </w:pPr>
            <w:r/>
            <w:r>
              <w:rPr>
                <w:rFonts w:ascii="Arial" w:hAnsi="Arial"/>
                <w:b w:val="0"/>
                <w:sz w:val="16"/>
              </w:rPr>
              <w:t>46.6%</w:t>
            </w:r>
          </w:p>
        </w:tc>
      </w:tr>
      <w:tr>
        <w:tc>
          <w:tcPr>
            <w:tcW w:type="dxa" w:w="7769"/>
            <w:vAlign w:val="top"/>
          </w:tcPr>
          <w:p>
            <w:pPr>
              <w:jc w:val="left"/>
            </w:pPr>
            <w:r/>
            <w:r>
              <w:rPr>
                <w:rFonts w:ascii="Arial" w:hAnsi="Arial"/>
                <w:b w:val="0"/>
                <w:sz w:val="16"/>
              </w:rPr>
              <w:t>Overall output score</w:t>
            </w:r>
          </w:p>
        </w:tc>
        <w:tc>
          <w:tcPr>
            <w:tcW w:type="dxa" w:w="7769"/>
            <w:vAlign w:val="top"/>
          </w:tcPr>
          <w:p>
            <w:pPr>
              <w:jc w:val="left"/>
            </w:pPr>
            <w:r/>
            <w:r>
              <w:rPr>
                <w:rFonts w:ascii="Arial" w:hAnsi="Arial"/>
                <w:b w:val="0"/>
                <w:sz w:val="16"/>
              </w:rPr>
              <w:t>A</w:t>
            </w:r>
          </w:p>
        </w:tc>
      </w:tr>
      <w:tr>
        <w:tc>
          <w:tcPr>
            <w:tcW w:type="dxa" w:w="7769"/>
            <w:vAlign w:val="top"/>
          </w:tcPr>
          <w:p>
            <w:pPr>
              <w:jc w:val="left"/>
            </w:pPr>
            <w:r/>
            <w:r>
              <w:rPr>
                <w:rFonts w:ascii="Arial" w:hAnsi="Arial"/>
                <w:b w:val="0"/>
                <w:sz w:val="16"/>
              </w:rPr>
              <w:t>Outcome assessment</w:t>
            </w:r>
          </w:p>
        </w:tc>
        <w:tc>
          <w:tcPr>
            <w:tcW w:type="dxa" w:w="7769"/>
            <w:vAlign w:val="top"/>
          </w:tcPr>
          <w:p>
            <w:pPr>
              <w:jc w:val="left"/>
            </w:pPr>
            <w:r/>
            <w:r>
              <w:rPr>
                <w:rFonts w:ascii="Arial" w:hAnsi="Arial"/>
                <w:b w:val="0"/>
                <w:sz w:val="16"/>
              </w:rPr>
              <w:t>A - broadly on track, with two outcome indicators slightly below target and one above target</w:t>
            </w:r>
          </w:p>
        </w:tc>
      </w:tr>
      <w:tr>
        <w:tc>
          <w:tcPr>
            <w:tcW w:type="dxa" w:w="7769"/>
            <w:vAlign w:val="top"/>
          </w:tcPr>
          <w:p>
            <w:pPr>
              <w:jc w:val="left"/>
            </w:pPr>
            <w:r/>
            <w:r>
              <w:rPr>
                <w:rFonts w:ascii="Arial" w:hAnsi="Arial"/>
                <w:b w:val="0"/>
                <w:sz w:val="16"/>
              </w:rPr>
              <w:t>Risk rating</w:t>
            </w:r>
          </w:p>
        </w:tc>
        <w:tc>
          <w:tcPr>
            <w:tcW w:type="dxa" w:w="7769"/>
            <w:vAlign w:val="top"/>
          </w:tcPr>
          <w:p>
            <w:pPr>
              <w:jc w:val="left"/>
            </w:pPr>
            <w:r/>
            <w:r>
              <w:rPr>
                <w:rFonts w:ascii="Arial" w:hAnsi="Arial"/>
                <w:b w:val="0"/>
                <w:sz w:val="16"/>
              </w:rPr>
              <w:t>Medium</w:t>
            </w:r>
          </w:p>
        </w:tc>
      </w:tr>
      <w:tr>
        <w:tc>
          <w:tcPr>
            <w:tcW w:type="dxa" w:w="7769"/>
            <w:vAlign w:val="top"/>
          </w:tcPr>
          <w:p>
            <w:pPr>
              <w:jc w:val="left"/>
            </w:pPr>
            <w:r/>
            <w:r>
              <w:rPr>
                <w:rFonts w:ascii="Arial" w:hAnsi="Arial"/>
                <w:b w:val="0"/>
                <w:sz w:val="16"/>
              </w:rPr>
              <w:t>Risk revised since last Annual Review?</w:t>
            </w:r>
          </w:p>
        </w:tc>
        <w:tc>
          <w:tcPr>
            <w:tcW w:type="dxa" w:w="7769"/>
            <w:vAlign w:val="top"/>
          </w:tcPr>
          <w:p>
            <w:pPr>
              <w:jc w:val="left"/>
            </w:pPr>
            <w:r/>
            <w:r>
              <w:rPr>
                <w:rFonts w:ascii="Arial" w:hAnsi="Arial"/>
                <w:b w:val="0"/>
                <w:sz w:val="16"/>
              </w:rPr>
              <w:t>Yes - safeguarding implementation risk remains medium; procurement risk reduced from medium to low</w:t>
            </w:r>
          </w:p>
        </w:tc>
      </w:tr>
    </w:tbl>
    <w:p/>
    <w:p>
      <w:pPr>
        <w:pStyle w:val="Heading1"/>
      </w:pPr>
      <w:r>
        <w:t>1. Executive Summary</w:t>
      </w:r>
    </w:p>
    <w:p>
      <w:r>
        <w:t>Safe Schools, Strong Futures is a four-year accountable grant programme supporting adolescent girls' attendance, safety, and participation in 40 rural schools in the fictional country of Nambara. The programme combines school WASH improvements, menstrual health support, teacher safeguarding training, and community accountability.</w:t>
      </w:r>
    </w:p>
    <w:p>
      <w:r>
        <w:t>Year 2 performance was satisfactory overall. The programme met or nearly met most planned output milestones and showed continued movement towards the outcome. It reached 15,230 girls directly against a Year 2 target of 14,400. It completed WASH rehabilitation in 38 of 40 target schools, trained 391 teachers and safeguarding focal points against a target of 420, supported 172 girls' club mentors against a target of 160, and facilitated 148 parent and community dialogue sessions against a target of 160.</w:t>
      </w:r>
    </w:p>
    <w:p>
      <w:r>
        <w:t>The overall output score is A. Output 2 exceeded expectations and is scored A+. Outputs 1 and 4 met expectations and are scored A. Output 3 moderately underperformed and is scored B. The underperformance relates to delayed safeguarding cascade training, incomplete use of referral logs in six schools, and lower-than-planned closure of referral cases within 30 days.</w:t>
      </w:r>
    </w:p>
    <w:p>
      <w:r>
        <w:t>The outcome is assessed as A. Two of three outcome indicators were close to target but slightly below: girls' regular attendance reached 66% against a 68% Year 2 target, and 46% of assessed schools met the minimum safe WASH and safeguarding standard against a 50% target. The third outcome indicator exceeded target, with 63% of surveyed caregivers reporting confidence that target schools are safe for adolescent girls, against a 60% target.</w:t>
      </w:r>
    </w:p>
    <w:p>
      <w:r>
        <w:t>The programme spent £812,600 in Year 2, equal to 93.4% of the approved annual budget. The £57,400 underspend was mainly due to delayed safeguarding training rounds and procurement savings on latrine construction materials. The programme remained within approved budget tolerances and no budget line variance exceeded the 10% prior-approval threshold.</w:t>
      </w:r>
    </w:p>
    <w:p>
      <w:r>
        <w:t>Key recommendations are to complete the two delayed WASH works by 30 June 2026, run the deferred safeguarding cascade training by 31 July 2026, move referral-log coaching from quarterly to monthly supervision in the six weaker schools, and revise Year 3 delivery sequencing so safeguarding training precedes girls' club expansion.</w:t>
      </w:r>
    </w:p>
    <w:p>
      <w:pPr>
        <w:pStyle w:val="Heading1"/>
      </w:pPr>
      <w:r>
        <w:t>2. Programme Context and Continuing Relevance</w:t>
      </w:r>
    </w:p>
    <w:p>
      <w:r>
        <w:t>The programme remains relevant to the approved business case and theory of change. The original problem statement identified three linked barriers to girls' attendance in rural Nambara: inadequate school sanitation, menstruation-related absenteeism, and weak school-level safeguarding systems. Year 2 evidence supports the continued relevance of these barriers.</w:t>
      </w:r>
    </w:p>
    <w:p>
      <w:r>
        <w:t>Attendance monitoring from 37 of 40 target schools shows regular attendance among girls aged 10-18 increased from 62% at the end of Year 1 to 66% in Year 2, against a baseline of 58%. School spot checks show improved availability of sex-segregated latrines, water points, and handwashing stations. Caregiver survey results also show rising confidence in school safety, from 50% in Year 1 to 63% in Year 2.</w:t>
      </w:r>
    </w:p>
    <w:p>
      <w:r>
        <w:t>The theory of change remains credible, but implementation evidence shows that safeguarding systems require more management attention than originally assumed. Infrastructure and menstrual health activities are delivering strongly. Behaviour change and referral practice are improving more slowly and require closer coaching.</w:t>
      </w:r>
    </w:p>
    <w:p>
      <w:pPr>
        <w:pStyle w:val="Heading1"/>
      </w:pPr>
      <w:r>
        <w:t>3. Outcome Assessment</w:t>
      </w:r>
    </w:p>
    <w:p>
      <w:pPr>
        <w:pStyle w:val="Heading2"/>
      </w:pPr>
      <w:r>
        <w:t>Outcome statement</w:t>
      </w:r>
    </w:p>
    <w:p>
      <w:r>
        <w:t>Girls aged 10-18 in 40 target rural schools attend regularly and learn in safer, more inclusive school environments.</w:t>
      </w:r>
    </w:p>
    <w:p>
      <w:pPr>
        <w:pStyle w:val="Heading2"/>
      </w:pPr>
      <w:r>
        <w:t>Outcome indicator table</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Outcome indicator</w:t>
            </w:r>
          </w:p>
        </w:tc>
        <w:tc>
          <w:tcPr>
            <w:tcW w:type="dxa" w:w="2590"/>
            <w:vAlign w:val="top"/>
            <w:shd w:fill="D9EAF7"/>
          </w:tcPr>
          <w:p>
            <w:pPr>
              <w:jc w:val="left"/>
            </w:pPr>
            <w:r/>
            <w:r>
              <w:rPr>
                <w:rFonts w:ascii="Arial" w:hAnsi="Arial"/>
                <w:b/>
                <w:sz w:val="16"/>
              </w:rPr>
              <w:t>Baseline</w:t>
            </w:r>
          </w:p>
        </w:tc>
        <w:tc>
          <w:tcPr>
            <w:tcW w:type="dxa" w:w="2590"/>
            <w:vAlign w:val="top"/>
            <w:shd w:fill="D9EAF7"/>
          </w:tcPr>
          <w:p>
            <w:pPr>
              <w:jc w:val="left"/>
            </w:pPr>
            <w:r/>
            <w:r>
              <w:rPr>
                <w:rFonts w:ascii="Arial" w:hAnsi="Arial"/>
                <w:b/>
                <w:sz w:val="16"/>
              </w:rPr>
              <w:t>Year 1 milestone</w:t>
            </w:r>
          </w:p>
        </w:tc>
        <w:tc>
          <w:tcPr>
            <w:tcW w:type="dxa" w:w="2590"/>
            <w:vAlign w:val="top"/>
            <w:shd w:fill="D9EAF7"/>
          </w:tcPr>
          <w:p>
            <w:pPr>
              <w:jc w:val="left"/>
            </w:pPr>
            <w:r/>
            <w:r>
              <w:rPr>
                <w:rFonts w:ascii="Arial" w:hAnsi="Arial"/>
                <w:b/>
                <w:sz w:val="16"/>
              </w:rPr>
              <w:t>Year 2 target</w:t>
            </w:r>
          </w:p>
        </w:tc>
        <w:tc>
          <w:tcPr>
            <w:tcW w:type="dxa" w:w="2590"/>
            <w:vAlign w:val="top"/>
            <w:shd w:fill="D9EAF7"/>
          </w:tcPr>
          <w:p>
            <w:pPr>
              <w:jc w:val="left"/>
            </w:pPr>
            <w:r/>
            <w:r>
              <w:rPr>
                <w:rFonts w:ascii="Arial" w:hAnsi="Arial"/>
                <w:b/>
                <w:sz w:val="16"/>
              </w:rPr>
              <w:t>Year 2 actual</w:t>
            </w:r>
          </w:p>
        </w:tc>
        <w:tc>
          <w:tcPr>
            <w:tcW w:type="dxa" w:w="2590"/>
            <w:vAlign w:val="top"/>
            <w:shd w:fill="D9EAF7"/>
          </w:tcPr>
          <w:p>
            <w:pPr>
              <w:jc w:val="left"/>
            </w:pPr>
            <w:r/>
            <w:r>
              <w:rPr>
                <w:rFonts w:ascii="Arial" w:hAnsi="Arial"/>
                <w:b/>
                <w:sz w:val="16"/>
              </w:rPr>
              <w:t>Assessment</w:t>
            </w:r>
          </w:p>
        </w:tc>
      </w:tr>
      <w:tr>
        <w:tc>
          <w:tcPr>
            <w:tcW w:type="dxa" w:w="2590"/>
            <w:vAlign w:val="top"/>
          </w:tcPr>
          <w:p>
            <w:pPr>
              <w:jc w:val="left"/>
            </w:pPr>
            <w:r/>
            <w:r>
              <w:rPr>
                <w:rFonts w:ascii="Arial" w:hAnsi="Arial"/>
                <w:b w:val="0"/>
                <w:sz w:val="16"/>
              </w:rPr>
              <w:t>OC1. % of enrolled girls aged 10-18 attending at least 80% of school days in the term reviewed</w:t>
            </w:r>
          </w:p>
        </w:tc>
        <w:tc>
          <w:tcPr>
            <w:tcW w:type="dxa" w:w="2590"/>
            <w:vAlign w:val="top"/>
          </w:tcPr>
          <w:p>
            <w:pPr>
              <w:jc w:val="left"/>
            </w:pPr>
            <w:r/>
            <w:r>
              <w:rPr>
                <w:rFonts w:ascii="Arial" w:hAnsi="Arial"/>
                <w:b w:val="0"/>
                <w:sz w:val="16"/>
              </w:rPr>
              <w:t>58%</w:t>
            </w:r>
          </w:p>
        </w:tc>
        <w:tc>
          <w:tcPr>
            <w:tcW w:type="dxa" w:w="2590"/>
            <w:vAlign w:val="top"/>
          </w:tcPr>
          <w:p>
            <w:pPr>
              <w:jc w:val="left"/>
            </w:pPr>
            <w:r/>
            <w:r>
              <w:rPr>
                <w:rFonts w:ascii="Arial" w:hAnsi="Arial"/>
                <w:b w:val="0"/>
                <w:sz w:val="16"/>
              </w:rPr>
              <w:t>62%</w:t>
            </w:r>
          </w:p>
        </w:tc>
        <w:tc>
          <w:tcPr>
            <w:tcW w:type="dxa" w:w="2590"/>
            <w:vAlign w:val="top"/>
          </w:tcPr>
          <w:p>
            <w:pPr>
              <w:jc w:val="left"/>
            </w:pPr>
            <w:r/>
            <w:r>
              <w:rPr>
                <w:rFonts w:ascii="Arial" w:hAnsi="Arial"/>
                <w:b w:val="0"/>
                <w:sz w:val="16"/>
              </w:rPr>
              <w:t>68%</w:t>
            </w:r>
          </w:p>
        </w:tc>
        <w:tc>
          <w:tcPr>
            <w:tcW w:type="dxa" w:w="2590"/>
            <w:vAlign w:val="top"/>
          </w:tcPr>
          <w:p>
            <w:pPr>
              <w:jc w:val="left"/>
            </w:pPr>
            <w:r/>
            <w:r>
              <w:rPr>
                <w:rFonts w:ascii="Arial" w:hAnsi="Arial"/>
                <w:b w:val="0"/>
                <w:sz w:val="16"/>
              </w:rPr>
              <w:t>66%</w:t>
            </w:r>
          </w:p>
        </w:tc>
        <w:tc>
          <w:tcPr>
            <w:tcW w:type="dxa" w:w="2590"/>
            <w:vAlign w:val="top"/>
          </w:tcPr>
          <w:p>
            <w:pPr>
              <w:jc w:val="left"/>
            </w:pPr>
            <w:r/>
            <w:r>
              <w:rPr>
                <w:rFonts w:ascii="Arial" w:hAnsi="Arial"/>
                <w:b w:val="0"/>
                <w:sz w:val="16"/>
              </w:rPr>
              <w:t>Slightly below target</w:t>
            </w:r>
          </w:p>
        </w:tc>
      </w:tr>
      <w:tr>
        <w:tc>
          <w:tcPr>
            <w:tcW w:type="dxa" w:w="2590"/>
            <w:vAlign w:val="top"/>
          </w:tcPr>
          <w:p>
            <w:pPr>
              <w:jc w:val="left"/>
            </w:pPr>
            <w:r/>
            <w:r>
              <w:rPr>
                <w:rFonts w:ascii="Arial" w:hAnsi="Arial"/>
                <w:b w:val="0"/>
                <w:sz w:val="16"/>
              </w:rPr>
              <w:t>OC2. % of target schools meeting the programme minimum safe WASH and safeguarding standard</w:t>
            </w:r>
          </w:p>
        </w:tc>
        <w:tc>
          <w:tcPr>
            <w:tcW w:type="dxa" w:w="2590"/>
            <w:vAlign w:val="top"/>
          </w:tcPr>
          <w:p>
            <w:pPr>
              <w:jc w:val="left"/>
            </w:pPr>
            <w:r/>
            <w:r>
              <w:rPr>
                <w:rFonts w:ascii="Arial" w:hAnsi="Arial"/>
                <w:b w:val="0"/>
                <w:sz w:val="16"/>
              </w:rPr>
              <w:t>12%</w:t>
            </w:r>
          </w:p>
        </w:tc>
        <w:tc>
          <w:tcPr>
            <w:tcW w:type="dxa" w:w="2590"/>
            <w:vAlign w:val="top"/>
          </w:tcPr>
          <w:p>
            <w:pPr>
              <w:jc w:val="left"/>
            </w:pPr>
            <w:r/>
            <w:r>
              <w:rPr>
                <w:rFonts w:ascii="Arial" w:hAnsi="Arial"/>
                <w:b w:val="0"/>
                <w:sz w:val="16"/>
              </w:rPr>
              <w:t>25%</w:t>
            </w:r>
          </w:p>
        </w:tc>
        <w:tc>
          <w:tcPr>
            <w:tcW w:type="dxa" w:w="2590"/>
            <w:vAlign w:val="top"/>
          </w:tcPr>
          <w:p>
            <w:pPr>
              <w:jc w:val="left"/>
            </w:pPr>
            <w:r/>
            <w:r>
              <w:rPr>
                <w:rFonts w:ascii="Arial" w:hAnsi="Arial"/>
                <w:b w:val="0"/>
                <w:sz w:val="16"/>
              </w:rPr>
              <w:t>50%</w:t>
            </w:r>
          </w:p>
        </w:tc>
        <w:tc>
          <w:tcPr>
            <w:tcW w:type="dxa" w:w="2590"/>
            <w:vAlign w:val="top"/>
          </w:tcPr>
          <w:p>
            <w:pPr>
              <w:jc w:val="left"/>
            </w:pPr>
            <w:r/>
            <w:r>
              <w:rPr>
                <w:rFonts w:ascii="Arial" w:hAnsi="Arial"/>
                <w:b w:val="0"/>
                <w:sz w:val="16"/>
              </w:rPr>
              <w:t>46%</w:t>
            </w:r>
          </w:p>
        </w:tc>
        <w:tc>
          <w:tcPr>
            <w:tcW w:type="dxa" w:w="2590"/>
            <w:vAlign w:val="top"/>
          </w:tcPr>
          <w:p>
            <w:pPr>
              <w:jc w:val="left"/>
            </w:pPr>
            <w:r/>
            <w:r>
              <w:rPr>
                <w:rFonts w:ascii="Arial" w:hAnsi="Arial"/>
                <w:b w:val="0"/>
                <w:sz w:val="16"/>
              </w:rPr>
              <w:t>Slightly below target</w:t>
            </w:r>
          </w:p>
        </w:tc>
      </w:tr>
      <w:tr>
        <w:tc>
          <w:tcPr>
            <w:tcW w:type="dxa" w:w="2590"/>
            <w:vAlign w:val="top"/>
          </w:tcPr>
          <w:p>
            <w:pPr>
              <w:jc w:val="left"/>
            </w:pPr>
            <w:r/>
            <w:r>
              <w:rPr>
                <w:rFonts w:ascii="Arial" w:hAnsi="Arial"/>
                <w:b w:val="0"/>
                <w:sz w:val="16"/>
              </w:rPr>
              <w:t>OC3. % of surveyed caregivers reporting confidence that target schools are safe for adolescent girls</w:t>
            </w:r>
          </w:p>
        </w:tc>
        <w:tc>
          <w:tcPr>
            <w:tcW w:type="dxa" w:w="2590"/>
            <w:vAlign w:val="top"/>
          </w:tcPr>
          <w:p>
            <w:pPr>
              <w:jc w:val="left"/>
            </w:pPr>
            <w:r/>
            <w:r>
              <w:rPr>
                <w:rFonts w:ascii="Arial" w:hAnsi="Arial"/>
                <w:b w:val="0"/>
                <w:sz w:val="16"/>
              </w:rPr>
              <w:t>41%</w:t>
            </w:r>
          </w:p>
        </w:tc>
        <w:tc>
          <w:tcPr>
            <w:tcW w:type="dxa" w:w="2590"/>
            <w:vAlign w:val="top"/>
          </w:tcPr>
          <w:p>
            <w:pPr>
              <w:jc w:val="left"/>
            </w:pPr>
            <w:r/>
            <w:r>
              <w:rPr>
                <w:rFonts w:ascii="Arial" w:hAnsi="Arial"/>
                <w:b w:val="0"/>
                <w:sz w:val="16"/>
              </w:rPr>
              <w:t>50%</w:t>
            </w:r>
          </w:p>
        </w:tc>
        <w:tc>
          <w:tcPr>
            <w:tcW w:type="dxa" w:w="2590"/>
            <w:vAlign w:val="top"/>
          </w:tcPr>
          <w:p>
            <w:pPr>
              <w:jc w:val="left"/>
            </w:pPr>
            <w:r/>
            <w:r>
              <w:rPr>
                <w:rFonts w:ascii="Arial" w:hAnsi="Arial"/>
                <w:b w:val="0"/>
                <w:sz w:val="16"/>
              </w:rPr>
              <w:t>60%</w:t>
            </w:r>
          </w:p>
        </w:tc>
        <w:tc>
          <w:tcPr>
            <w:tcW w:type="dxa" w:w="2590"/>
            <w:vAlign w:val="top"/>
          </w:tcPr>
          <w:p>
            <w:pPr>
              <w:jc w:val="left"/>
            </w:pPr>
            <w:r/>
            <w:r>
              <w:rPr>
                <w:rFonts w:ascii="Arial" w:hAnsi="Arial"/>
                <w:b w:val="0"/>
                <w:sz w:val="16"/>
              </w:rPr>
              <w:t>63%</w:t>
            </w:r>
          </w:p>
        </w:tc>
        <w:tc>
          <w:tcPr>
            <w:tcW w:type="dxa" w:w="2590"/>
            <w:vAlign w:val="top"/>
          </w:tcPr>
          <w:p>
            <w:pPr>
              <w:jc w:val="left"/>
            </w:pPr>
            <w:r/>
            <w:r>
              <w:rPr>
                <w:rFonts w:ascii="Arial" w:hAnsi="Arial"/>
                <w:b w:val="0"/>
                <w:sz w:val="16"/>
              </w:rPr>
              <w:t>Above target</w:t>
            </w:r>
          </w:p>
        </w:tc>
      </w:tr>
    </w:tbl>
    <w:p/>
    <w:p>
      <w:pPr>
        <w:pStyle w:val="Heading2"/>
      </w:pPr>
      <w:r>
        <w:t>Outcome narrative</w:t>
      </w:r>
    </w:p>
    <w:p>
      <w:r>
        <w:t>Outcome performance is broadly on track. Girls' regular attendance improved by eight percentage points from baseline and four percentage points from Year 1, although it remained two percentage points below the Year 2 target. This assessment is based on attendance returns from 37 schools; three schools had incomplete March registers, which limits confidence in the exact percentage but does not alter the direction of travel.</w:t>
      </w:r>
    </w:p>
    <w:p>
      <w:r>
        <w:t>The proportion of assessed schools meeting the minimum safe WASH and safeguarding standard reached 46%, against a target of 50%. This result reflects stronger WASH progress than safeguarding progress. Eighteen of 39 assessed schools met the combined standard; one school was not assessed because the verification visit was cancelled due to road access constraints.</w:t>
      </w:r>
    </w:p>
    <w:p>
      <w:r>
        <w:t>Caregiver confidence exceeded target, reaching 63% against 60%. This is consistent with the reported increase in girls' club activity, parent dialogue sessions, visible WASH improvements, and school-level safety messaging.</w:t>
      </w:r>
    </w:p>
    <w:p>
      <w:r>
        <w:t>The outcome is assessed as A. The programme has not met every Year 2 outcome target, but progress is credible, evidenced, and sufficient to judge that the outcome is broadly on track.</w:t>
      </w:r>
    </w:p>
    <w:p>
      <w:pPr>
        <w:pStyle w:val="Heading1"/>
      </w:pPr>
      <w:r>
        <w:t>4. Output Performance and Scoring</w:t>
      </w:r>
    </w:p>
    <w:p>
      <w:pPr>
        <w:pStyle w:val="Heading2"/>
      </w:pPr>
      <w:r>
        <w:t>Output scoring summary</w:t>
      </w:r>
    </w:p>
    <w:tbl>
      <w:tblPr>
        <w:tblStyle w:val="TableGrid"/>
        <w:tblW w:type="auto" w:w="0"/>
        <w:jc w:val="center"/>
        <w:tblLayout w:type="autofit"/>
        <w:tblLook w:firstColumn="1" w:firstRow="1" w:lastColumn="0" w:lastRow="0" w:noHBand="0" w:noVBand="1" w:val="04A0"/>
      </w:tblPr>
      <w:tblGrid>
        <w:gridCol w:w="3108"/>
        <w:gridCol w:w="3108"/>
        <w:gridCol w:w="3108"/>
        <w:gridCol w:w="3108"/>
        <w:gridCol w:w="3108"/>
      </w:tblGrid>
      <w:tr>
        <w:tc>
          <w:tcPr>
            <w:tcW w:type="dxa" w:w="3108"/>
            <w:vAlign w:val="top"/>
            <w:shd w:fill="D9EAF7"/>
          </w:tcPr>
          <w:p>
            <w:pPr>
              <w:jc w:val="left"/>
            </w:pPr>
            <w:r/>
            <w:r>
              <w:rPr>
                <w:rFonts w:ascii="Arial" w:hAnsi="Arial"/>
                <w:b/>
                <w:sz w:val="16"/>
              </w:rPr>
              <w:t>Output</w:t>
            </w:r>
          </w:p>
        </w:tc>
        <w:tc>
          <w:tcPr>
            <w:tcW w:type="dxa" w:w="3108"/>
            <w:vAlign w:val="top"/>
            <w:shd w:fill="D9EAF7"/>
          </w:tcPr>
          <w:p>
            <w:pPr>
              <w:jc w:val="left"/>
            </w:pPr>
            <w:r/>
            <w:r>
              <w:rPr>
                <w:rFonts w:ascii="Arial" w:hAnsi="Arial"/>
                <w:b/>
                <w:sz w:val="16"/>
              </w:rPr>
              <w:t>Impact weighting</w:t>
            </w:r>
          </w:p>
        </w:tc>
        <w:tc>
          <w:tcPr>
            <w:tcW w:type="dxa" w:w="3108"/>
            <w:vAlign w:val="top"/>
            <w:shd w:fill="D9EAF7"/>
          </w:tcPr>
          <w:p>
            <w:pPr>
              <w:jc w:val="left"/>
            </w:pPr>
            <w:r/>
            <w:r>
              <w:rPr>
                <w:rFonts w:ascii="Arial" w:hAnsi="Arial"/>
                <w:b/>
                <w:sz w:val="16"/>
              </w:rPr>
              <w:t>Risk rating</w:t>
            </w:r>
          </w:p>
        </w:tc>
        <w:tc>
          <w:tcPr>
            <w:tcW w:type="dxa" w:w="3108"/>
            <w:vAlign w:val="top"/>
            <w:shd w:fill="D9EAF7"/>
          </w:tcPr>
          <w:p>
            <w:pPr>
              <w:jc w:val="left"/>
            </w:pPr>
            <w:r/>
            <w:r>
              <w:rPr>
                <w:rFonts w:ascii="Arial" w:hAnsi="Arial"/>
                <w:b/>
                <w:sz w:val="16"/>
              </w:rPr>
              <w:t>Year 2 score</w:t>
            </w:r>
          </w:p>
        </w:tc>
        <w:tc>
          <w:tcPr>
            <w:tcW w:type="dxa" w:w="3108"/>
            <w:vAlign w:val="top"/>
            <w:shd w:fill="D9EAF7"/>
          </w:tcPr>
          <w:p>
            <w:pPr>
              <w:jc w:val="left"/>
            </w:pPr>
            <w:r/>
            <w:r>
              <w:rPr>
                <w:rFonts w:ascii="Arial" w:hAnsi="Arial"/>
                <w:b/>
                <w:sz w:val="16"/>
              </w:rPr>
              <w:t>Short justification</w:t>
            </w:r>
          </w:p>
        </w:tc>
      </w:tr>
      <w:tr>
        <w:tc>
          <w:tcPr>
            <w:tcW w:type="dxa" w:w="3108"/>
            <w:vAlign w:val="top"/>
          </w:tcPr>
          <w:p>
            <w:pPr>
              <w:jc w:val="left"/>
            </w:pPr>
            <w:r/>
            <w:r>
              <w:rPr>
                <w:rFonts w:ascii="Arial" w:hAnsi="Arial"/>
                <w:b w:val="0"/>
                <w:sz w:val="16"/>
              </w:rPr>
              <w:t>Output 1. School WASH infrastructure rehabilitated and maintained</w:t>
            </w:r>
          </w:p>
        </w:tc>
        <w:tc>
          <w:tcPr>
            <w:tcW w:type="dxa" w:w="3108"/>
            <w:vAlign w:val="top"/>
          </w:tcPr>
          <w:p>
            <w:pPr>
              <w:jc w:val="left"/>
            </w:pPr>
            <w:r/>
            <w:r>
              <w:rPr>
                <w:rFonts w:ascii="Arial" w:hAnsi="Arial"/>
                <w:b w:val="0"/>
                <w:sz w:val="16"/>
              </w:rPr>
              <w:t>30%</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A</w:t>
            </w:r>
          </w:p>
        </w:tc>
        <w:tc>
          <w:tcPr>
            <w:tcW w:type="dxa" w:w="3108"/>
            <w:vAlign w:val="top"/>
          </w:tcPr>
          <w:p>
            <w:pPr>
              <w:jc w:val="left"/>
            </w:pPr>
            <w:r/>
            <w:r>
              <w:rPr>
                <w:rFonts w:ascii="Arial" w:hAnsi="Arial"/>
                <w:b w:val="0"/>
                <w:sz w:val="16"/>
              </w:rPr>
              <w:t>Most infrastructure milestones met; two school works delayed but scheduled for completion</w:t>
            </w:r>
          </w:p>
        </w:tc>
      </w:tr>
      <w:tr>
        <w:tc>
          <w:tcPr>
            <w:tcW w:type="dxa" w:w="3108"/>
            <w:vAlign w:val="top"/>
          </w:tcPr>
          <w:p>
            <w:pPr>
              <w:jc w:val="left"/>
            </w:pPr>
            <w:r/>
            <w:r>
              <w:rPr>
                <w:rFonts w:ascii="Arial" w:hAnsi="Arial"/>
                <w:b w:val="0"/>
                <w:sz w:val="16"/>
              </w:rPr>
              <w:t>Output 2. Girls receive menstrual health support and peer-led school club services</w:t>
            </w:r>
          </w:p>
        </w:tc>
        <w:tc>
          <w:tcPr>
            <w:tcW w:type="dxa" w:w="3108"/>
            <w:vAlign w:val="top"/>
          </w:tcPr>
          <w:p>
            <w:pPr>
              <w:jc w:val="left"/>
            </w:pPr>
            <w:r/>
            <w:r>
              <w:rPr>
                <w:rFonts w:ascii="Arial" w:hAnsi="Arial"/>
                <w:b w:val="0"/>
                <w:sz w:val="16"/>
              </w:rPr>
              <w:t>25%</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A+</w:t>
            </w:r>
          </w:p>
        </w:tc>
        <w:tc>
          <w:tcPr>
            <w:tcW w:type="dxa" w:w="3108"/>
            <w:vAlign w:val="top"/>
          </w:tcPr>
          <w:p>
            <w:pPr>
              <w:jc w:val="left"/>
            </w:pPr>
            <w:r/>
            <w:r>
              <w:rPr>
                <w:rFonts w:ascii="Arial" w:hAnsi="Arial"/>
                <w:b w:val="0"/>
                <w:sz w:val="16"/>
              </w:rPr>
              <w:t>Beneficiary reach, mentor training, and menstruation-related absence results exceeded target</w:t>
            </w:r>
          </w:p>
        </w:tc>
      </w:tr>
      <w:tr>
        <w:tc>
          <w:tcPr>
            <w:tcW w:type="dxa" w:w="3108"/>
            <w:vAlign w:val="top"/>
          </w:tcPr>
          <w:p>
            <w:pPr>
              <w:jc w:val="left"/>
            </w:pPr>
            <w:r/>
            <w:r>
              <w:rPr>
                <w:rFonts w:ascii="Arial" w:hAnsi="Arial"/>
                <w:b w:val="0"/>
                <w:sz w:val="16"/>
              </w:rPr>
              <w:t>Output 3. Teachers and school safeguarding focal points apply safe-school procedures</w:t>
            </w:r>
          </w:p>
        </w:tc>
        <w:tc>
          <w:tcPr>
            <w:tcW w:type="dxa" w:w="3108"/>
            <w:vAlign w:val="top"/>
          </w:tcPr>
          <w:p>
            <w:pPr>
              <w:jc w:val="left"/>
            </w:pPr>
            <w:r/>
            <w:r>
              <w:rPr>
                <w:rFonts w:ascii="Arial" w:hAnsi="Arial"/>
                <w:b w:val="0"/>
                <w:sz w:val="16"/>
              </w:rPr>
              <w:t>25%</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B</w:t>
            </w:r>
          </w:p>
        </w:tc>
        <w:tc>
          <w:tcPr>
            <w:tcW w:type="dxa" w:w="3108"/>
            <w:vAlign w:val="top"/>
          </w:tcPr>
          <w:p>
            <w:pPr>
              <w:jc w:val="left"/>
            </w:pPr>
            <w:r/>
            <w:r>
              <w:rPr>
                <w:rFonts w:ascii="Arial" w:hAnsi="Arial"/>
                <w:b w:val="0"/>
                <w:sz w:val="16"/>
              </w:rPr>
              <w:t>Training and referral-log use below target; case closure below target</w:t>
            </w:r>
          </w:p>
        </w:tc>
      </w:tr>
      <w:tr>
        <w:tc>
          <w:tcPr>
            <w:tcW w:type="dxa" w:w="3108"/>
            <w:vAlign w:val="top"/>
          </w:tcPr>
          <w:p>
            <w:pPr>
              <w:jc w:val="left"/>
            </w:pPr>
            <w:r/>
            <w:r>
              <w:rPr>
                <w:rFonts w:ascii="Arial" w:hAnsi="Arial"/>
                <w:b w:val="0"/>
                <w:sz w:val="16"/>
              </w:rPr>
              <w:t>Output 4. Communities and school committees monitor girls' safety and attendance</w:t>
            </w:r>
          </w:p>
        </w:tc>
        <w:tc>
          <w:tcPr>
            <w:tcW w:type="dxa" w:w="3108"/>
            <w:vAlign w:val="top"/>
          </w:tcPr>
          <w:p>
            <w:pPr>
              <w:jc w:val="left"/>
            </w:pPr>
            <w:r/>
            <w:r>
              <w:rPr>
                <w:rFonts w:ascii="Arial" w:hAnsi="Arial"/>
                <w:b w:val="0"/>
                <w:sz w:val="16"/>
              </w:rPr>
              <w:t>20%</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A</w:t>
            </w:r>
          </w:p>
        </w:tc>
        <w:tc>
          <w:tcPr>
            <w:tcW w:type="dxa" w:w="3108"/>
            <w:vAlign w:val="top"/>
          </w:tcPr>
          <w:p>
            <w:pPr>
              <w:jc w:val="left"/>
            </w:pPr>
            <w:r/>
            <w:r>
              <w:rPr>
                <w:rFonts w:ascii="Arial" w:hAnsi="Arial"/>
                <w:b w:val="0"/>
                <w:sz w:val="16"/>
              </w:rPr>
              <w:t>Community dialogue slightly below target, but caregiver survey and school plans met or exceeded target</w:t>
            </w:r>
          </w:p>
        </w:tc>
      </w:tr>
    </w:tbl>
    <w:p/>
    <w:p>
      <w:r>
        <w:rPr>
          <w:b/>
        </w:rPr>
        <w:t xml:space="preserve">Overall output score: </w:t>
      </w:r>
      <w:r>
        <w:t>A.</w:t>
      </w:r>
    </w:p>
    <w:p>
      <w:r>
        <w:t>The weighted score calculation supports an overall A. Output 2 exceeded expectations. Outputs 1 and 4 met expectations. Output 3 moderately did not meet expectation and requires corrective action.</w:t>
      </w:r>
    </w:p>
    <w:p>
      <w:pPr>
        <w:pStyle w:val="Heading2"/>
      </w:pPr>
      <w:r>
        <w:t>Output 1. School WASH infrastructure rehabilitated and maintained</w:t>
      </w:r>
    </w:p>
    <w:p>
      <w:r>
        <w:rPr>
          <w:b/>
        </w:rPr>
        <w:t xml:space="preserve">Score: </w:t>
      </w:r>
      <w:r>
        <w:t>A</w:t>
      </w:r>
    </w:p>
    <w:p>
      <w:r>
        <w:rPr>
          <w:b/>
        </w:rPr>
        <w:t xml:space="preserve">Risk rating: </w:t>
      </w:r>
      <w:r>
        <w:t>Medium</w:t>
      </w:r>
    </w:p>
    <w:p>
      <w:r>
        <w:rPr>
          <w:b/>
        </w:rPr>
        <w:t xml:space="preserve">Impact weighting: </w:t>
      </w:r>
      <w:r>
        <w:t>30%</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Indicator</w:t>
            </w:r>
          </w:p>
        </w:tc>
        <w:tc>
          <w:tcPr>
            <w:tcW w:type="dxa" w:w="2590"/>
            <w:vAlign w:val="top"/>
            <w:shd w:fill="D9EAF7"/>
          </w:tcPr>
          <w:p>
            <w:pPr>
              <w:jc w:val="left"/>
            </w:pPr>
            <w:r/>
            <w:r>
              <w:rPr>
                <w:rFonts w:ascii="Arial" w:hAnsi="Arial"/>
                <w:b/>
                <w:sz w:val="16"/>
              </w:rPr>
              <w:t>Baseline</w:t>
            </w:r>
          </w:p>
        </w:tc>
        <w:tc>
          <w:tcPr>
            <w:tcW w:type="dxa" w:w="2590"/>
            <w:vAlign w:val="top"/>
            <w:shd w:fill="D9EAF7"/>
          </w:tcPr>
          <w:p>
            <w:pPr>
              <w:jc w:val="left"/>
            </w:pPr>
            <w:r/>
            <w:r>
              <w:rPr>
                <w:rFonts w:ascii="Arial" w:hAnsi="Arial"/>
                <w:b/>
                <w:sz w:val="16"/>
              </w:rPr>
              <w:t>Year 1 milestone</w:t>
            </w:r>
          </w:p>
        </w:tc>
        <w:tc>
          <w:tcPr>
            <w:tcW w:type="dxa" w:w="2590"/>
            <w:vAlign w:val="top"/>
            <w:shd w:fill="D9EAF7"/>
          </w:tcPr>
          <w:p>
            <w:pPr>
              <w:jc w:val="left"/>
            </w:pPr>
            <w:r/>
            <w:r>
              <w:rPr>
                <w:rFonts w:ascii="Arial" w:hAnsi="Arial"/>
                <w:b/>
                <w:sz w:val="16"/>
              </w:rPr>
              <w:t>Year 2 target</w:t>
            </w:r>
          </w:p>
        </w:tc>
        <w:tc>
          <w:tcPr>
            <w:tcW w:type="dxa" w:w="2590"/>
            <w:vAlign w:val="top"/>
            <w:shd w:fill="D9EAF7"/>
          </w:tcPr>
          <w:p>
            <w:pPr>
              <w:jc w:val="left"/>
            </w:pPr>
            <w:r/>
            <w:r>
              <w:rPr>
                <w:rFonts w:ascii="Arial" w:hAnsi="Arial"/>
                <w:b/>
                <w:sz w:val="16"/>
              </w:rPr>
              <w:t>Year 2 actual</w:t>
            </w:r>
          </w:p>
        </w:tc>
        <w:tc>
          <w:tcPr>
            <w:tcW w:type="dxa" w:w="2590"/>
            <w:vAlign w:val="top"/>
            <w:shd w:fill="D9EAF7"/>
          </w:tcPr>
          <w:p>
            <w:pPr>
              <w:jc w:val="left"/>
            </w:pPr>
            <w:r/>
            <w:r>
              <w:rPr>
                <w:rFonts w:ascii="Arial" w:hAnsi="Arial"/>
                <w:b/>
                <w:sz w:val="16"/>
              </w:rPr>
              <w:t>Assessment</w:t>
            </w:r>
          </w:p>
        </w:tc>
      </w:tr>
      <w:tr>
        <w:tc>
          <w:tcPr>
            <w:tcW w:type="dxa" w:w="2590"/>
            <w:vAlign w:val="top"/>
          </w:tcPr>
          <w:p>
            <w:pPr>
              <w:jc w:val="left"/>
            </w:pPr>
            <w:r/>
            <w:r>
              <w:rPr>
                <w:rFonts w:ascii="Arial" w:hAnsi="Arial"/>
                <w:b w:val="0"/>
                <w:sz w:val="16"/>
              </w:rPr>
              <w:t>1.1 Number of target schools with completed sex-segregated latrine rehabilitation and water access improvements</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18</w:t>
            </w:r>
          </w:p>
        </w:tc>
        <w:tc>
          <w:tcPr>
            <w:tcW w:type="dxa" w:w="2590"/>
            <w:vAlign w:val="top"/>
          </w:tcPr>
          <w:p>
            <w:pPr>
              <w:jc w:val="left"/>
            </w:pPr>
            <w:r/>
            <w:r>
              <w:rPr>
                <w:rFonts w:ascii="Arial" w:hAnsi="Arial"/>
                <w:b w:val="0"/>
                <w:sz w:val="16"/>
              </w:rPr>
              <w:t>40</w:t>
            </w:r>
          </w:p>
        </w:tc>
        <w:tc>
          <w:tcPr>
            <w:tcW w:type="dxa" w:w="2590"/>
            <w:vAlign w:val="top"/>
          </w:tcPr>
          <w:p>
            <w:pPr>
              <w:jc w:val="left"/>
            </w:pPr>
            <w:r/>
            <w:r>
              <w:rPr>
                <w:rFonts w:ascii="Arial" w:hAnsi="Arial"/>
                <w:b w:val="0"/>
                <w:sz w:val="16"/>
              </w:rPr>
              <w:t>38</w:t>
            </w:r>
          </w:p>
        </w:tc>
        <w:tc>
          <w:tcPr>
            <w:tcW w:type="dxa" w:w="2590"/>
            <w:vAlign w:val="top"/>
          </w:tcPr>
          <w:p>
            <w:pPr>
              <w:jc w:val="left"/>
            </w:pPr>
            <w:r/>
            <w:r>
              <w:rPr>
                <w:rFonts w:ascii="Arial" w:hAnsi="Arial"/>
                <w:b w:val="0"/>
                <w:sz w:val="16"/>
              </w:rPr>
              <w:t>Slightly below target</w:t>
            </w:r>
          </w:p>
        </w:tc>
      </w:tr>
      <w:tr>
        <w:tc>
          <w:tcPr>
            <w:tcW w:type="dxa" w:w="2590"/>
            <w:vAlign w:val="top"/>
          </w:tcPr>
          <w:p>
            <w:pPr>
              <w:jc w:val="left"/>
            </w:pPr>
            <w:r/>
            <w:r>
              <w:rPr>
                <w:rFonts w:ascii="Arial" w:hAnsi="Arial"/>
                <w:b w:val="0"/>
                <w:sz w:val="16"/>
              </w:rPr>
              <w:t>1.2 % of installed handwashing stations functional at spot check</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70%</w:t>
            </w:r>
          </w:p>
        </w:tc>
        <w:tc>
          <w:tcPr>
            <w:tcW w:type="dxa" w:w="2590"/>
            <w:vAlign w:val="top"/>
          </w:tcPr>
          <w:p>
            <w:pPr>
              <w:jc w:val="left"/>
            </w:pPr>
            <w:r/>
            <w:r>
              <w:rPr>
                <w:rFonts w:ascii="Arial" w:hAnsi="Arial"/>
                <w:b w:val="0"/>
                <w:sz w:val="16"/>
              </w:rPr>
              <w:t>80%</w:t>
            </w:r>
          </w:p>
        </w:tc>
        <w:tc>
          <w:tcPr>
            <w:tcW w:type="dxa" w:w="2590"/>
            <w:vAlign w:val="top"/>
          </w:tcPr>
          <w:p>
            <w:pPr>
              <w:jc w:val="left"/>
            </w:pPr>
            <w:r/>
            <w:r>
              <w:rPr>
                <w:rFonts w:ascii="Arial" w:hAnsi="Arial"/>
                <w:b w:val="0"/>
                <w:sz w:val="16"/>
              </w:rPr>
              <w:t>76%</w:t>
            </w:r>
          </w:p>
        </w:tc>
        <w:tc>
          <w:tcPr>
            <w:tcW w:type="dxa" w:w="2590"/>
            <w:vAlign w:val="top"/>
          </w:tcPr>
          <w:p>
            <w:pPr>
              <w:jc w:val="left"/>
            </w:pPr>
            <w:r/>
            <w:r>
              <w:rPr>
                <w:rFonts w:ascii="Arial" w:hAnsi="Arial"/>
                <w:b w:val="0"/>
                <w:sz w:val="16"/>
              </w:rPr>
              <w:t>Slightly below target</w:t>
            </w:r>
          </w:p>
        </w:tc>
      </w:tr>
      <w:tr>
        <w:tc>
          <w:tcPr>
            <w:tcW w:type="dxa" w:w="2590"/>
            <w:vAlign w:val="top"/>
          </w:tcPr>
          <w:p>
            <w:pPr>
              <w:jc w:val="left"/>
            </w:pPr>
            <w:r/>
            <w:r>
              <w:rPr>
                <w:rFonts w:ascii="Arial" w:hAnsi="Arial"/>
                <w:b w:val="0"/>
                <w:sz w:val="16"/>
              </w:rPr>
              <w:t>1.3 Number of school WASH operation and maintenance committees active</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18</w:t>
            </w:r>
          </w:p>
        </w:tc>
        <w:tc>
          <w:tcPr>
            <w:tcW w:type="dxa" w:w="2590"/>
            <w:vAlign w:val="top"/>
          </w:tcPr>
          <w:p>
            <w:pPr>
              <w:jc w:val="left"/>
            </w:pPr>
            <w:r/>
            <w:r>
              <w:rPr>
                <w:rFonts w:ascii="Arial" w:hAnsi="Arial"/>
                <w:b w:val="0"/>
                <w:sz w:val="16"/>
              </w:rPr>
              <w:t>40</w:t>
            </w:r>
          </w:p>
        </w:tc>
        <w:tc>
          <w:tcPr>
            <w:tcW w:type="dxa" w:w="2590"/>
            <w:vAlign w:val="top"/>
          </w:tcPr>
          <w:p>
            <w:pPr>
              <w:jc w:val="left"/>
            </w:pPr>
            <w:r/>
            <w:r>
              <w:rPr>
                <w:rFonts w:ascii="Arial" w:hAnsi="Arial"/>
                <w:b w:val="0"/>
                <w:sz w:val="16"/>
              </w:rPr>
              <w:t>39</w:t>
            </w:r>
          </w:p>
        </w:tc>
        <w:tc>
          <w:tcPr>
            <w:tcW w:type="dxa" w:w="2590"/>
            <w:vAlign w:val="top"/>
          </w:tcPr>
          <w:p>
            <w:pPr>
              <w:jc w:val="left"/>
            </w:pPr>
            <w:r/>
            <w:r>
              <w:rPr>
                <w:rFonts w:ascii="Arial" w:hAnsi="Arial"/>
                <w:b w:val="0"/>
                <w:sz w:val="16"/>
              </w:rPr>
              <w:t>Close to target</w:t>
            </w:r>
          </w:p>
        </w:tc>
      </w:tr>
    </w:tbl>
    <w:p/>
    <w:p>
      <w:r>
        <w:t>Output 1 met expectations overall. WASH rehabilitation was completed in 38 of 40 schools. The two delayed schools are in the final works batch and were delayed by access constraints and late delivery of roofing sheets. The delay did not affect the wider programme trajectory but should be resolved early in Year 3.</w:t>
      </w:r>
    </w:p>
    <w:p>
      <w:r>
        <w:t>Handwashing station functionality reached 76% against an 80% target. Spot-check notes indicate that most non-functional units required minor repairs or water storage replacement rather than full rehabilitation. Thirty-nine school WASH operation and maintenance committees were active by the end of the period.</w:t>
      </w:r>
    </w:p>
    <w:p>
      <w:pPr>
        <w:pStyle w:val="Heading2"/>
      </w:pPr>
      <w:r>
        <w:t>Output 2. Girls receive menstrual health support and peer-led school club services</w:t>
      </w:r>
    </w:p>
    <w:p>
      <w:r>
        <w:rPr>
          <w:b/>
        </w:rPr>
        <w:t xml:space="preserve">Score: </w:t>
      </w:r>
      <w:r>
        <w:t>A+</w:t>
      </w:r>
    </w:p>
    <w:p>
      <w:r>
        <w:rPr>
          <w:b/>
        </w:rPr>
        <w:t xml:space="preserve">Risk rating: </w:t>
      </w:r>
      <w:r>
        <w:t>Low</w:t>
      </w:r>
    </w:p>
    <w:p>
      <w:r>
        <w:rPr>
          <w:b/>
        </w:rPr>
        <w:t xml:space="preserve">Impact weighting: </w:t>
      </w:r>
      <w:r>
        <w:t>25%</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Indicator</w:t>
            </w:r>
          </w:p>
        </w:tc>
        <w:tc>
          <w:tcPr>
            <w:tcW w:type="dxa" w:w="2590"/>
            <w:vAlign w:val="top"/>
            <w:shd w:fill="D9EAF7"/>
          </w:tcPr>
          <w:p>
            <w:pPr>
              <w:jc w:val="left"/>
            </w:pPr>
            <w:r/>
            <w:r>
              <w:rPr>
                <w:rFonts w:ascii="Arial" w:hAnsi="Arial"/>
                <w:b/>
                <w:sz w:val="16"/>
              </w:rPr>
              <w:t>Baseline</w:t>
            </w:r>
          </w:p>
        </w:tc>
        <w:tc>
          <w:tcPr>
            <w:tcW w:type="dxa" w:w="2590"/>
            <w:vAlign w:val="top"/>
            <w:shd w:fill="D9EAF7"/>
          </w:tcPr>
          <w:p>
            <w:pPr>
              <w:jc w:val="left"/>
            </w:pPr>
            <w:r/>
            <w:r>
              <w:rPr>
                <w:rFonts w:ascii="Arial" w:hAnsi="Arial"/>
                <w:b/>
                <w:sz w:val="16"/>
              </w:rPr>
              <w:t>Year 1 milestone</w:t>
            </w:r>
          </w:p>
        </w:tc>
        <w:tc>
          <w:tcPr>
            <w:tcW w:type="dxa" w:w="2590"/>
            <w:vAlign w:val="top"/>
            <w:shd w:fill="D9EAF7"/>
          </w:tcPr>
          <w:p>
            <w:pPr>
              <w:jc w:val="left"/>
            </w:pPr>
            <w:r/>
            <w:r>
              <w:rPr>
                <w:rFonts w:ascii="Arial" w:hAnsi="Arial"/>
                <w:b/>
                <w:sz w:val="16"/>
              </w:rPr>
              <w:t>Year 2 target</w:t>
            </w:r>
          </w:p>
        </w:tc>
        <w:tc>
          <w:tcPr>
            <w:tcW w:type="dxa" w:w="2590"/>
            <w:vAlign w:val="top"/>
            <w:shd w:fill="D9EAF7"/>
          </w:tcPr>
          <w:p>
            <w:pPr>
              <w:jc w:val="left"/>
            </w:pPr>
            <w:r/>
            <w:r>
              <w:rPr>
                <w:rFonts w:ascii="Arial" w:hAnsi="Arial"/>
                <w:b/>
                <w:sz w:val="16"/>
              </w:rPr>
              <w:t>Year 2 actual</w:t>
            </w:r>
          </w:p>
        </w:tc>
        <w:tc>
          <w:tcPr>
            <w:tcW w:type="dxa" w:w="2590"/>
            <w:vAlign w:val="top"/>
            <w:shd w:fill="D9EAF7"/>
          </w:tcPr>
          <w:p>
            <w:pPr>
              <w:jc w:val="left"/>
            </w:pPr>
            <w:r/>
            <w:r>
              <w:rPr>
                <w:rFonts w:ascii="Arial" w:hAnsi="Arial"/>
                <w:b/>
                <w:sz w:val="16"/>
              </w:rPr>
              <w:t>Assessment</w:t>
            </w:r>
          </w:p>
        </w:tc>
      </w:tr>
      <w:tr>
        <w:tc>
          <w:tcPr>
            <w:tcW w:type="dxa" w:w="2590"/>
            <w:vAlign w:val="top"/>
          </w:tcPr>
          <w:p>
            <w:pPr>
              <w:jc w:val="left"/>
            </w:pPr>
            <w:r/>
            <w:r>
              <w:rPr>
                <w:rFonts w:ascii="Arial" w:hAnsi="Arial"/>
                <w:b w:val="0"/>
                <w:sz w:val="16"/>
              </w:rPr>
              <w:t>2.1 Number of girls receiving menstrual health sessions and dignity kits</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7,200</w:t>
            </w:r>
          </w:p>
        </w:tc>
        <w:tc>
          <w:tcPr>
            <w:tcW w:type="dxa" w:w="2590"/>
            <w:vAlign w:val="top"/>
          </w:tcPr>
          <w:p>
            <w:pPr>
              <w:jc w:val="left"/>
            </w:pPr>
            <w:r/>
            <w:r>
              <w:rPr>
                <w:rFonts w:ascii="Arial" w:hAnsi="Arial"/>
                <w:b w:val="0"/>
                <w:sz w:val="16"/>
              </w:rPr>
              <w:t>14,400</w:t>
            </w:r>
          </w:p>
        </w:tc>
        <w:tc>
          <w:tcPr>
            <w:tcW w:type="dxa" w:w="2590"/>
            <w:vAlign w:val="top"/>
          </w:tcPr>
          <w:p>
            <w:pPr>
              <w:jc w:val="left"/>
            </w:pPr>
            <w:r/>
            <w:r>
              <w:rPr>
                <w:rFonts w:ascii="Arial" w:hAnsi="Arial"/>
                <w:b w:val="0"/>
                <w:sz w:val="16"/>
              </w:rPr>
              <w:t>15,230</w:t>
            </w:r>
          </w:p>
        </w:tc>
        <w:tc>
          <w:tcPr>
            <w:tcW w:type="dxa" w:w="2590"/>
            <w:vAlign w:val="top"/>
          </w:tcPr>
          <w:p>
            <w:pPr>
              <w:jc w:val="left"/>
            </w:pPr>
            <w:r/>
            <w:r>
              <w:rPr>
                <w:rFonts w:ascii="Arial" w:hAnsi="Arial"/>
                <w:b w:val="0"/>
                <w:sz w:val="16"/>
              </w:rPr>
              <w:t>Above target</w:t>
            </w:r>
          </w:p>
        </w:tc>
      </w:tr>
      <w:tr>
        <w:tc>
          <w:tcPr>
            <w:tcW w:type="dxa" w:w="2590"/>
            <w:vAlign w:val="top"/>
          </w:tcPr>
          <w:p>
            <w:pPr>
              <w:jc w:val="left"/>
            </w:pPr>
            <w:r/>
            <w:r>
              <w:rPr>
                <w:rFonts w:ascii="Arial" w:hAnsi="Arial"/>
                <w:b w:val="0"/>
                <w:sz w:val="16"/>
              </w:rPr>
              <w:t>2.2 Number of trained girls' club mentors active</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82</w:t>
            </w:r>
          </w:p>
        </w:tc>
        <w:tc>
          <w:tcPr>
            <w:tcW w:type="dxa" w:w="2590"/>
            <w:vAlign w:val="top"/>
          </w:tcPr>
          <w:p>
            <w:pPr>
              <w:jc w:val="left"/>
            </w:pPr>
            <w:r/>
            <w:r>
              <w:rPr>
                <w:rFonts w:ascii="Arial" w:hAnsi="Arial"/>
                <w:b w:val="0"/>
                <w:sz w:val="16"/>
              </w:rPr>
              <w:t>160</w:t>
            </w:r>
          </w:p>
        </w:tc>
        <w:tc>
          <w:tcPr>
            <w:tcW w:type="dxa" w:w="2590"/>
            <w:vAlign w:val="top"/>
          </w:tcPr>
          <w:p>
            <w:pPr>
              <w:jc w:val="left"/>
            </w:pPr>
            <w:r/>
            <w:r>
              <w:rPr>
                <w:rFonts w:ascii="Arial" w:hAnsi="Arial"/>
                <w:b w:val="0"/>
                <w:sz w:val="16"/>
              </w:rPr>
              <w:t>172</w:t>
            </w:r>
          </w:p>
        </w:tc>
        <w:tc>
          <w:tcPr>
            <w:tcW w:type="dxa" w:w="2590"/>
            <w:vAlign w:val="top"/>
          </w:tcPr>
          <w:p>
            <w:pPr>
              <w:jc w:val="left"/>
            </w:pPr>
            <w:r/>
            <w:r>
              <w:rPr>
                <w:rFonts w:ascii="Arial" w:hAnsi="Arial"/>
                <w:b w:val="0"/>
                <w:sz w:val="16"/>
              </w:rPr>
              <w:t>Above target</w:t>
            </w:r>
          </w:p>
        </w:tc>
      </w:tr>
      <w:tr>
        <w:tc>
          <w:tcPr>
            <w:tcW w:type="dxa" w:w="2590"/>
            <w:vAlign w:val="top"/>
          </w:tcPr>
          <w:p>
            <w:pPr>
              <w:jc w:val="left"/>
            </w:pPr>
            <w:r/>
            <w:r>
              <w:rPr>
                <w:rFonts w:ascii="Arial" w:hAnsi="Arial"/>
                <w:b w:val="0"/>
                <w:sz w:val="16"/>
              </w:rPr>
              <w:t>2.3 Average self-reported menstruation-related absence days per term among sampled girls</w:t>
            </w:r>
          </w:p>
        </w:tc>
        <w:tc>
          <w:tcPr>
            <w:tcW w:type="dxa" w:w="2590"/>
            <w:vAlign w:val="top"/>
          </w:tcPr>
          <w:p>
            <w:pPr>
              <w:jc w:val="left"/>
            </w:pPr>
            <w:r/>
            <w:r>
              <w:rPr>
                <w:rFonts w:ascii="Arial" w:hAnsi="Arial"/>
                <w:b w:val="0"/>
                <w:sz w:val="16"/>
              </w:rPr>
              <w:t>4.8</w:t>
            </w:r>
          </w:p>
        </w:tc>
        <w:tc>
          <w:tcPr>
            <w:tcW w:type="dxa" w:w="2590"/>
            <w:vAlign w:val="top"/>
          </w:tcPr>
          <w:p>
            <w:pPr>
              <w:jc w:val="left"/>
            </w:pPr>
            <w:r/>
            <w:r>
              <w:rPr>
                <w:rFonts w:ascii="Arial" w:hAnsi="Arial"/>
                <w:b w:val="0"/>
                <w:sz w:val="16"/>
              </w:rPr>
              <w:t>3.9</w:t>
            </w:r>
          </w:p>
        </w:tc>
        <w:tc>
          <w:tcPr>
            <w:tcW w:type="dxa" w:w="2590"/>
            <w:vAlign w:val="top"/>
          </w:tcPr>
          <w:p>
            <w:pPr>
              <w:jc w:val="left"/>
            </w:pPr>
            <w:r/>
            <w:r>
              <w:rPr>
                <w:rFonts w:ascii="Arial" w:hAnsi="Arial"/>
                <w:b w:val="0"/>
                <w:sz w:val="16"/>
              </w:rPr>
              <w:t>3.2</w:t>
            </w:r>
          </w:p>
        </w:tc>
        <w:tc>
          <w:tcPr>
            <w:tcW w:type="dxa" w:w="2590"/>
            <w:vAlign w:val="top"/>
          </w:tcPr>
          <w:p>
            <w:pPr>
              <w:jc w:val="left"/>
            </w:pPr>
            <w:r/>
            <w:r>
              <w:rPr>
                <w:rFonts w:ascii="Arial" w:hAnsi="Arial"/>
                <w:b w:val="0"/>
                <w:sz w:val="16"/>
              </w:rPr>
              <w:t>3.0</w:t>
            </w:r>
          </w:p>
        </w:tc>
        <w:tc>
          <w:tcPr>
            <w:tcW w:type="dxa" w:w="2590"/>
            <w:vAlign w:val="top"/>
          </w:tcPr>
          <w:p>
            <w:pPr>
              <w:jc w:val="left"/>
            </w:pPr>
            <w:r/>
            <w:r>
              <w:rPr>
                <w:rFonts w:ascii="Arial" w:hAnsi="Arial"/>
                <w:b w:val="0"/>
                <w:sz w:val="16"/>
              </w:rPr>
              <w:t>Above target</w:t>
            </w:r>
          </w:p>
        </w:tc>
      </w:tr>
    </w:tbl>
    <w:p/>
    <w:p>
      <w:r>
        <w:t>Output 2 moderately exceeded expectations. The programme reached 15,230 girls, 106% of the Year 2 target. The reported figure uses the cleaned HQ spreadsheet figure rather than the initial partner narrative figure of 15,318, because duplicate entries from three schools were removed during data cleaning.</w:t>
      </w:r>
    </w:p>
    <w:p>
      <w:r>
        <w:t>The programme trained and retained 172 active girls' club mentors, exceeding the target of 160. Self-reported menstruation-related absence reduced to 3.0 days per term against a target of 3.2. The result should be interpreted with normal caution for self-reported absence data, but it is consistent with attendance and club-monitoring records.</w:t>
      </w:r>
    </w:p>
    <w:p>
      <w:pPr>
        <w:pStyle w:val="Heading2"/>
      </w:pPr>
      <w:r>
        <w:t>Output 3. Teachers and school safeguarding focal points apply safe-school procedures</w:t>
      </w:r>
    </w:p>
    <w:p>
      <w:r>
        <w:rPr>
          <w:b/>
        </w:rPr>
        <w:t xml:space="preserve">Score: </w:t>
      </w:r>
      <w:r>
        <w:t>B</w:t>
      </w:r>
    </w:p>
    <w:p>
      <w:r>
        <w:rPr>
          <w:b/>
        </w:rPr>
        <w:t xml:space="preserve">Risk rating: </w:t>
      </w:r>
      <w:r>
        <w:t>Medium</w:t>
      </w:r>
    </w:p>
    <w:p>
      <w:r>
        <w:rPr>
          <w:b/>
        </w:rPr>
        <w:t xml:space="preserve">Impact weighting: </w:t>
      </w:r>
      <w:r>
        <w:t>25%</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Indicator</w:t>
            </w:r>
          </w:p>
        </w:tc>
        <w:tc>
          <w:tcPr>
            <w:tcW w:type="dxa" w:w="2590"/>
            <w:vAlign w:val="top"/>
            <w:shd w:fill="D9EAF7"/>
          </w:tcPr>
          <w:p>
            <w:pPr>
              <w:jc w:val="left"/>
            </w:pPr>
            <w:r/>
            <w:r>
              <w:rPr>
                <w:rFonts w:ascii="Arial" w:hAnsi="Arial"/>
                <w:b/>
                <w:sz w:val="16"/>
              </w:rPr>
              <w:t>Baseline</w:t>
            </w:r>
          </w:p>
        </w:tc>
        <w:tc>
          <w:tcPr>
            <w:tcW w:type="dxa" w:w="2590"/>
            <w:vAlign w:val="top"/>
            <w:shd w:fill="D9EAF7"/>
          </w:tcPr>
          <w:p>
            <w:pPr>
              <w:jc w:val="left"/>
            </w:pPr>
            <w:r/>
            <w:r>
              <w:rPr>
                <w:rFonts w:ascii="Arial" w:hAnsi="Arial"/>
                <w:b/>
                <w:sz w:val="16"/>
              </w:rPr>
              <w:t>Year 1 milestone</w:t>
            </w:r>
          </w:p>
        </w:tc>
        <w:tc>
          <w:tcPr>
            <w:tcW w:type="dxa" w:w="2590"/>
            <w:vAlign w:val="top"/>
            <w:shd w:fill="D9EAF7"/>
          </w:tcPr>
          <w:p>
            <w:pPr>
              <w:jc w:val="left"/>
            </w:pPr>
            <w:r/>
            <w:r>
              <w:rPr>
                <w:rFonts w:ascii="Arial" w:hAnsi="Arial"/>
                <w:b/>
                <w:sz w:val="16"/>
              </w:rPr>
              <w:t>Year 2 target</w:t>
            </w:r>
          </w:p>
        </w:tc>
        <w:tc>
          <w:tcPr>
            <w:tcW w:type="dxa" w:w="2590"/>
            <w:vAlign w:val="top"/>
            <w:shd w:fill="D9EAF7"/>
          </w:tcPr>
          <w:p>
            <w:pPr>
              <w:jc w:val="left"/>
            </w:pPr>
            <w:r/>
            <w:r>
              <w:rPr>
                <w:rFonts w:ascii="Arial" w:hAnsi="Arial"/>
                <w:b/>
                <w:sz w:val="16"/>
              </w:rPr>
              <w:t>Year 2 actual</w:t>
            </w:r>
          </w:p>
        </w:tc>
        <w:tc>
          <w:tcPr>
            <w:tcW w:type="dxa" w:w="2590"/>
            <w:vAlign w:val="top"/>
            <w:shd w:fill="D9EAF7"/>
          </w:tcPr>
          <w:p>
            <w:pPr>
              <w:jc w:val="left"/>
            </w:pPr>
            <w:r/>
            <w:r>
              <w:rPr>
                <w:rFonts w:ascii="Arial" w:hAnsi="Arial"/>
                <w:b/>
                <w:sz w:val="16"/>
              </w:rPr>
              <w:t>Assessment</w:t>
            </w:r>
          </w:p>
        </w:tc>
      </w:tr>
      <w:tr>
        <w:tc>
          <w:tcPr>
            <w:tcW w:type="dxa" w:w="2590"/>
            <w:vAlign w:val="top"/>
          </w:tcPr>
          <w:p>
            <w:pPr>
              <w:jc w:val="left"/>
            </w:pPr>
            <w:r/>
            <w:r>
              <w:rPr>
                <w:rFonts w:ascii="Arial" w:hAnsi="Arial"/>
                <w:b w:val="0"/>
                <w:sz w:val="16"/>
              </w:rPr>
              <w:t>3.1 Number of teachers and safeguarding focal points trained</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205</w:t>
            </w:r>
          </w:p>
        </w:tc>
        <w:tc>
          <w:tcPr>
            <w:tcW w:type="dxa" w:w="2590"/>
            <w:vAlign w:val="top"/>
          </w:tcPr>
          <w:p>
            <w:pPr>
              <w:jc w:val="left"/>
            </w:pPr>
            <w:r/>
            <w:r>
              <w:rPr>
                <w:rFonts w:ascii="Arial" w:hAnsi="Arial"/>
                <w:b w:val="0"/>
                <w:sz w:val="16"/>
              </w:rPr>
              <w:t>420</w:t>
            </w:r>
          </w:p>
        </w:tc>
        <w:tc>
          <w:tcPr>
            <w:tcW w:type="dxa" w:w="2590"/>
            <w:vAlign w:val="top"/>
          </w:tcPr>
          <w:p>
            <w:pPr>
              <w:jc w:val="left"/>
            </w:pPr>
            <w:r/>
            <w:r>
              <w:rPr>
                <w:rFonts w:ascii="Arial" w:hAnsi="Arial"/>
                <w:b w:val="0"/>
                <w:sz w:val="16"/>
              </w:rPr>
              <w:t>391</w:t>
            </w:r>
          </w:p>
        </w:tc>
        <w:tc>
          <w:tcPr>
            <w:tcW w:type="dxa" w:w="2590"/>
            <w:vAlign w:val="top"/>
          </w:tcPr>
          <w:p>
            <w:pPr>
              <w:jc w:val="left"/>
            </w:pPr>
            <w:r/>
            <w:r>
              <w:rPr>
                <w:rFonts w:ascii="Arial" w:hAnsi="Arial"/>
                <w:b w:val="0"/>
                <w:sz w:val="16"/>
              </w:rPr>
              <w:t>Below target</w:t>
            </w:r>
          </w:p>
        </w:tc>
      </w:tr>
      <w:tr>
        <w:tc>
          <w:tcPr>
            <w:tcW w:type="dxa" w:w="2590"/>
            <w:vAlign w:val="top"/>
          </w:tcPr>
          <w:p>
            <w:pPr>
              <w:jc w:val="left"/>
            </w:pPr>
            <w:r/>
            <w:r>
              <w:rPr>
                <w:rFonts w:ascii="Arial" w:hAnsi="Arial"/>
                <w:b w:val="0"/>
                <w:sz w:val="16"/>
              </w:rPr>
              <w:t>3.2 Number of schools using referral and case-log tools correctly</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19</w:t>
            </w:r>
          </w:p>
        </w:tc>
        <w:tc>
          <w:tcPr>
            <w:tcW w:type="dxa" w:w="2590"/>
            <w:vAlign w:val="top"/>
          </w:tcPr>
          <w:p>
            <w:pPr>
              <w:jc w:val="left"/>
            </w:pPr>
            <w:r/>
            <w:r>
              <w:rPr>
                <w:rFonts w:ascii="Arial" w:hAnsi="Arial"/>
                <w:b w:val="0"/>
                <w:sz w:val="16"/>
              </w:rPr>
              <w:t>40</w:t>
            </w:r>
          </w:p>
        </w:tc>
        <w:tc>
          <w:tcPr>
            <w:tcW w:type="dxa" w:w="2590"/>
            <w:vAlign w:val="top"/>
          </w:tcPr>
          <w:p>
            <w:pPr>
              <w:jc w:val="left"/>
            </w:pPr>
            <w:r/>
            <w:r>
              <w:rPr>
                <w:rFonts w:ascii="Arial" w:hAnsi="Arial"/>
                <w:b w:val="0"/>
                <w:sz w:val="16"/>
              </w:rPr>
              <w:t>34</w:t>
            </w:r>
          </w:p>
        </w:tc>
        <w:tc>
          <w:tcPr>
            <w:tcW w:type="dxa" w:w="2590"/>
            <w:vAlign w:val="top"/>
          </w:tcPr>
          <w:p>
            <w:pPr>
              <w:jc w:val="left"/>
            </w:pPr>
            <w:r/>
            <w:r>
              <w:rPr>
                <w:rFonts w:ascii="Arial" w:hAnsi="Arial"/>
                <w:b w:val="0"/>
                <w:sz w:val="16"/>
              </w:rPr>
              <w:t>Below target</w:t>
            </w:r>
          </w:p>
        </w:tc>
      </w:tr>
      <w:tr>
        <w:tc>
          <w:tcPr>
            <w:tcW w:type="dxa" w:w="2590"/>
            <w:vAlign w:val="top"/>
          </w:tcPr>
          <w:p>
            <w:pPr>
              <w:jc w:val="left"/>
            </w:pPr>
            <w:r/>
            <w:r>
              <w:rPr>
                <w:rFonts w:ascii="Arial" w:hAnsi="Arial"/>
                <w:b w:val="0"/>
                <w:sz w:val="16"/>
              </w:rPr>
              <w:t>3.3 % of recorded child-protection referral cases closed or escalated within 30 days</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65%</w:t>
            </w:r>
          </w:p>
        </w:tc>
        <w:tc>
          <w:tcPr>
            <w:tcW w:type="dxa" w:w="2590"/>
            <w:vAlign w:val="top"/>
          </w:tcPr>
          <w:p>
            <w:pPr>
              <w:jc w:val="left"/>
            </w:pPr>
            <w:r/>
            <w:r>
              <w:rPr>
                <w:rFonts w:ascii="Arial" w:hAnsi="Arial"/>
                <w:b w:val="0"/>
                <w:sz w:val="16"/>
              </w:rPr>
              <w:t>80%</w:t>
            </w:r>
          </w:p>
        </w:tc>
        <w:tc>
          <w:tcPr>
            <w:tcW w:type="dxa" w:w="2590"/>
            <w:vAlign w:val="top"/>
          </w:tcPr>
          <w:p>
            <w:pPr>
              <w:jc w:val="left"/>
            </w:pPr>
            <w:r/>
            <w:r>
              <w:rPr>
                <w:rFonts w:ascii="Arial" w:hAnsi="Arial"/>
                <w:b w:val="0"/>
                <w:sz w:val="16"/>
              </w:rPr>
              <w:t>74%</w:t>
            </w:r>
          </w:p>
        </w:tc>
        <w:tc>
          <w:tcPr>
            <w:tcW w:type="dxa" w:w="2590"/>
            <w:vAlign w:val="top"/>
          </w:tcPr>
          <w:p>
            <w:pPr>
              <w:jc w:val="left"/>
            </w:pPr>
            <w:r/>
            <w:r>
              <w:rPr>
                <w:rFonts w:ascii="Arial" w:hAnsi="Arial"/>
                <w:b w:val="0"/>
                <w:sz w:val="16"/>
              </w:rPr>
              <w:t>Below target</w:t>
            </w:r>
          </w:p>
        </w:tc>
      </w:tr>
    </w:tbl>
    <w:p/>
    <w:p>
      <w:r>
        <w:t>Output 3 moderately did not meet expectations. Training reached 391 teachers and safeguarding focal points, 93% of the target. The missed target is explained by a postponed cascade round during the February school closure period and trainer availability constraints.</w:t>
      </w:r>
    </w:p>
    <w:p>
      <w:r>
        <w:t>Referral and case-log practice remains uneven. Thirty-four schools used the tools correctly against a target of 40. Referral timeliness also remained below target, with 17 of 23 recorded referral cases closed or escalated within 30 days, equal to 74%. No sexual exploitation, abuse, or harassment allegations were reported during the period. However, the quality of routine safeguarding documentation is not yet sufficient in six schools.</w:t>
      </w:r>
    </w:p>
    <w:p>
      <w:r>
        <w:t>This is the main area requiring management action in Year 3. The programme should not expand girls' club activity in the six weaker schools until safeguarding coaching and referral-log practice have improved.</w:t>
      </w:r>
    </w:p>
    <w:p>
      <w:pPr>
        <w:pStyle w:val="Heading2"/>
      </w:pPr>
      <w:r>
        <w:t>Output 4. Communities and school committees monitor girls' safety and attendance</w:t>
      </w:r>
    </w:p>
    <w:p>
      <w:r>
        <w:rPr>
          <w:b/>
        </w:rPr>
        <w:t xml:space="preserve">Score: </w:t>
      </w:r>
      <w:r>
        <w:t>A</w:t>
      </w:r>
    </w:p>
    <w:p>
      <w:r>
        <w:rPr>
          <w:b/>
        </w:rPr>
        <w:t xml:space="preserve">Risk rating: </w:t>
      </w:r>
      <w:r>
        <w:t>Low</w:t>
      </w:r>
    </w:p>
    <w:p>
      <w:r>
        <w:rPr>
          <w:b/>
        </w:rPr>
        <w:t xml:space="preserve">Impact weighting: </w:t>
      </w:r>
      <w:r>
        <w:t>20%</w:t>
      </w:r>
    </w:p>
    <w:tbl>
      <w:tblPr>
        <w:tblStyle w:val="TableGrid"/>
        <w:tblW w:type="auto" w:w="0"/>
        <w:jc w:val="center"/>
        <w:tblLayout w:type="autofit"/>
        <w:tblLook w:firstColumn="1" w:firstRow="1" w:lastColumn="0" w:lastRow="0" w:noHBand="0" w:noVBand="1" w:val="04A0"/>
      </w:tblPr>
      <w:tblGrid>
        <w:gridCol w:w="2590"/>
        <w:gridCol w:w="2590"/>
        <w:gridCol w:w="2590"/>
        <w:gridCol w:w="2590"/>
        <w:gridCol w:w="2590"/>
        <w:gridCol w:w="2590"/>
      </w:tblGrid>
      <w:tr>
        <w:tc>
          <w:tcPr>
            <w:tcW w:type="dxa" w:w="2590"/>
            <w:vAlign w:val="top"/>
            <w:shd w:fill="D9EAF7"/>
          </w:tcPr>
          <w:p>
            <w:pPr>
              <w:jc w:val="left"/>
            </w:pPr>
            <w:r/>
            <w:r>
              <w:rPr>
                <w:rFonts w:ascii="Arial" w:hAnsi="Arial"/>
                <w:b/>
                <w:sz w:val="16"/>
              </w:rPr>
              <w:t>Indicator</w:t>
            </w:r>
          </w:p>
        </w:tc>
        <w:tc>
          <w:tcPr>
            <w:tcW w:type="dxa" w:w="2590"/>
            <w:vAlign w:val="top"/>
            <w:shd w:fill="D9EAF7"/>
          </w:tcPr>
          <w:p>
            <w:pPr>
              <w:jc w:val="left"/>
            </w:pPr>
            <w:r/>
            <w:r>
              <w:rPr>
                <w:rFonts w:ascii="Arial" w:hAnsi="Arial"/>
                <w:b/>
                <w:sz w:val="16"/>
              </w:rPr>
              <w:t>Baseline</w:t>
            </w:r>
          </w:p>
        </w:tc>
        <w:tc>
          <w:tcPr>
            <w:tcW w:type="dxa" w:w="2590"/>
            <w:vAlign w:val="top"/>
            <w:shd w:fill="D9EAF7"/>
          </w:tcPr>
          <w:p>
            <w:pPr>
              <w:jc w:val="left"/>
            </w:pPr>
            <w:r/>
            <w:r>
              <w:rPr>
                <w:rFonts w:ascii="Arial" w:hAnsi="Arial"/>
                <w:b/>
                <w:sz w:val="16"/>
              </w:rPr>
              <w:t>Year 1 milestone</w:t>
            </w:r>
          </w:p>
        </w:tc>
        <w:tc>
          <w:tcPr>
            <w:tcW w:type="dxa" w:w="2590"/>
            <w:vAlign w:val="top"/>
            <w:shd w:fill="D9EAF7"/>
          </w:tcPr>
          <w:p>
            <w:pPr>
              <w:jc w:val="left"/>
            </w:pPr>
            <w:r/>
            <w:r>
              <w:rPr>
                <w:rFonts w:ascii="Arial" w:hAnsi="Arial"/>
                <w:b/>
                <w:sz w:val="16"/>
              </w:rPr>
              <w:t>Year 2 target</w:t>
            </w:r>
          </w:p>
        </w:tc>
        <w:tc>
          <w:tcPr>
            <w:tcW w:type="dxa" w:w="2590"/>
            <w:vAlign w:val="top"/>
            <w:shd w:fill="D9EAF7"/>
          </w:tcPr>
          <w:p>
            <w:pPr>
              <w:jc w:val="left"/>
            </w:pPr>
            <w:r/>
            <w:r>
              <w:rPr>
                <w:rFonts w:ascii="Arial" w:hAnsi="Arial"/>
                <w:b/>
                <w:sz w:val="16"/>
              </w:rPr>
              <w:t>Year 2 actual</w:t>
            </w:r>
          </w:p>
        </w:tc>
        <w:tc>
          <w:tcPr>
            <w:tcW w:type="dxa" w:w="2590"/>
            <w:vAlign w:val="top"/>
            <w:shd w:fill="D9EAF7"/>
          </w:tcPr>
          <w:p>
            <w:pPr>
              <w:jc w:val="left"/>
            </w:pPr>
            <w:r/>
            <w:r>
              <w:rPr>
                <w:rFonts w:ascii="Arial" w:hAnsi="Arial"/>
                <w:b/>
                <w:sz w:val="16"/>
              </w:rPr>
              <w:t>Assessment</w:t>
            </w:r>
          </w:p>
        </w:tc>
      </w:tr>
      <w:tr>
        <w:tc>
          <w:tcPr>
            <w:tcW w:type="dxa" w:w="2590"/>
            <w:vAlign w:val="top"/>
          </w:tcPr>
          <w:p>
            <w:pPr>
              <w:jc w:val="left"/>
            </w:pPr>
            <w:r/>
            <w:r>
              <w:rPr>
                <w:rFonts w:ascii="Arial" w:hAnsi="Arial"/>
                <w:b w:val="0"/>
                <w:sz w:val="16"/>
              </w:rPr>
              <w:t>4.1 Number of parent and community dialogue sessions held</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72</w:t>
            </w:r>
          </w:p>
        </w:tc>
        <w:tc>
          <w:tcPr>
            <w:tcW w:type="dxa" w:w="2590"/>
            <w:vAlign w:val="top"/>
          </w:tcPr>
          <w:p>
            <w:pPr>
              <w:jc w:val="left"/>
            </w:pPr>
            <w:r/>
            <w:r>
              <w:rPr>
                <w:rFonts w:ascii="Arial" w:hAnsi="Arial"/>
                <w:b w:val="0"/>
                <w:sz w:val="16"/>
              </w:rPr>
              <w:t>160</w:t>
            </w:r>
          </w:p>
        </w:tc>
        <w:tc>
          <w:tcPr>
            <w:tcW w:type="dxa" w:w="2590"/>
            <w:vAlign w:val="top"/>
          </w:tcPr>
          <w:p>
            <w:pPr>
              <w:jc w:val="left"/>
            </w:pPr>
            <w:r/>
            <w:r>
              <w:rPr>
                <w:rFonts w:ascii="Arial" w:hAnsi="Arial"/>
                <w:b w:val="0"/>
                <w:sz w:val="16"/>
              </w:rPr>
              <w:t>148</w:t>
            </w:r>
          </w:p>
        </w:tc>
        <w:tc>
          <w:tcPr>
            <w:tcW w:type="dxa" w:w="2590"/>
            <w:vAlign w:val="top"/>
          </w:tcPr>
          <w:p>
            <w:pPr>
              <w:jc w:val="left"/>
            </w:pPr>
            <w:r/>
            <w:r>
              <w:rPr>
                <w:rFonts w:ascii="Arial" w:hAnsi="Arial"/>
                <w:b w:val="0"/>
                <w:sz w:val="16"/>
              </w:rPr>
              <w:t>Slightly below target</w:t>
            </w:r>
          </w:p>
        </w:tc>
      </w:tr>
      <w:tr>
        <w:tc>
          <w:tcPr>
            <w:tcW w:type="dxa" w:w="2590"/>
            <w:vAlign w:val="top"/>
          </w:tcPr>
          <w:p>
            <w:pPr>
              <w:jc w:val="left"/>
            </w:pPr>
            <w:r/>
            <w:r>
              <w:rPr>
                <w:rFonts w:ascii="Arial" w:hAnsi="Arial"/>
                <w:b w:val="0"/>
                <w:sz w:val="16"/>
              </w:rPr>
              <w:t>4.2 Number of caregivers participating in confidence and safety feedback surveys</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2,360</w:t>
            </w:r>
          </w:p>
        </w:tc>
        <w:tc>
          <w:tcPr>
            <w:tcW w:type="dxa" w:w="2590"/>
            <w:vAlign w:val="top"/>
          </w:tcPr>
          <w:p>
            <w:pPr>
              <w:jc w:val="left"/>
            </w:pPr>
            <w:r/>
            <w:r>
              <w:rPr>
                <w:rFonts w:ascii="Arial" w:hAnsi="Arial"/>
                <w:b w:val="0"/>
                <w:sz w:val="16"/>
              </w:rPr>
              <w:t>4,800</w:t>
            </w:r>
          </w:p>
        </w:tc>
        <w:tc>
          <w:tcPr>
            <w:tcW w:type="dxa" w:w="2590"/>
            <w:vAlign w:val="top"/>
          </w:tcPr>
          <w:p>
            <w:pPr>
              <w:jc w:val="left"/>
            </w:pPr>
            <w:r/>
            <w:r>
              <w:rPr>
                <w:rFonts w:ascii="Arial" w:hAnsi="Arial"/>
                <w:b w:val="0"/>
                <w:sz w:val="16"/>
              </w:rPr>
              <w:t>5,126</w:t>
            </w:r>
          </w:p>
        </w:tc>
        <w:tc>
          <w:tcPr>
            <w:tcW w:type="dxa" w:w="2590"/>
            <w:vAlign w:val="top"/>
          </w:tcPr>
          <w:p>
            <w:pPr>
              <w:jc w:val="left"/>
            </w:pPr>
            <w:r/>
            <w:r>
              <w:rPr>
                <w:rFonts w:ascii="Arial" w:hAnsi="Arial"/>
                <w:b w:val="0"/>
                <w:sz w:val="16"/>
              </w:rPr>
              <w:t>Above target</w:t>
            </w:r>
          </w:p>
        </w:tc>
      </w:tr>
      <w:tr>
        <w:tc>
          <w:tcPr>
            <w:tcW w:type="dxa" w:w="2590"/>
            <w:vAlign w:val="top"/>
          </w:tcPr>
          <w:p>
            <w:pPr>
              <w:jc w:val="left"/>
            </w:pPr>
            <w:r/>
            <w:r>
              <w:rPr>
                <w:rFonts w:ascii="Arial" w:hAnsi="Arial"/>
                <w:b w:val="0"/>
                <w:sz w:val="16"/>
              </w:rPr>
              <w:t>4.3 Number of schools with updated school improvement plans including girls' safety and attendance actions</w:t>
            </w:r>
          </w:p>
        </w:tc>
        <w:tc>
          <w:tcPr>
            <w:tcW w:type="dxa" w:w="2590"/>
            <w:vAlign w:val="top"/>
          </w:tcPr>
          <w:p>
            <w:pPr>
              <w:jc w:val="left"/>
            </w:pPr>
            <w:r/>
            <w:r>
              <w:rPr>
                <w:rFonts w:ascii="Arial" w:hAnsi="Arial"/>
                <w:b w:val="0"/>
                <w:sz w:val="16"/>
              </w:rPr>
              <w:t>0</w:t>
            </w:r>
          </w:p>
        </w:tc>
        <w:tc>
          <w:tcPr>
            <w:tcW w:type="dxa" w:w="2590"/>
            <w:vAlign w:val="top"/>
          </w:tcPr>
          <w:p>
            <w:pPr>
              <w:jc w:val="left"/>
            </w:pPr>
            <w:r/>
            <w:r>
              <w:rPr>
                <w:rFonts w:ascii="Arial" w:hAnsi="Arial"/>
                <w:b w:val="0"/>
                <w:sz w:val="16"/>
              </w:rPr>
              <w:t>18</w:t>
            </w:r>
          </w:p>
        </w:tc>
        <w:tc>
          <w:tcPr>
            <w:tcW w:type="dxa" w:w="2590"/>
            <w:vAlign w:val="top"/>
          </w:tcPr>
          <w:p>
            <w:pPr>
              <w:jc w:val="left"/>
            </w:pPr>
            <w:r/>
            <w:r>
              <w:rPr>
                <w:rFonts w:ascii="Arial" w:hAnsi="Arial"/>
                <w:b w:val="0"/>
                <w:sz w:val="16"/>
              </w:rPr>
              <w:t>40</w:t>
            </w:r>
          </w:p>
        </w:tc>
        <w:tc>
          <w:tcPr>
            <w:tcW w:type="dxa" w:w="2590"/>
            <w:vAlign w:val="top"/>
          </w:tcPr>
          <w:p>
            <w:pPr>
              <w:jc w:val="left"/>
            </w:pPr>
            <w:r/>
            <w:r>
              <w:rPr>
                <w:rFonts w:ascii="Arial" w:hAnsi="Arial"/>
                <w:b w:val="0"/>
                <w:sz w:val="16"/>
              </w:rPr>
              <w:t>40</w:t>
            </w:r>
          </w:p>
        </w:tc>
        <w:tc>
          <w:tcPr>
            <w:tcW w:type="dxa" w:w="2590"/>
            <w:vAlign w:val="top"/>
          </w:tcPr>
          <w:p>
            <w:pPr>
              <w:jc w:val="left"/>
            </w:pPr>
            <w:r/>
            <w:r>
              <w:rPr>
                <w:rFonts w:ascii="Arial" w:hAnsi="Arial"/>
                <w:b w:val="0"/>
                <w:sz w:val="16"/>
              </w:rPr>
              <w:t>Met target</w:t>
            </w:r>
          </w:p>
        </w:tc>
      </w:tr>
    </w:tbl>
    <w:p/>
    <w:p>
      <w:r>
        <w:t>Output 4 met expectations. The number of community dialogue sessions was below target at 148 against 160, mainly because several meetings were combined during the harvest period. Caregiver survey participation exceeded target, reaching 5,126 respondents. All 40 schools updated school improvement plans to include girls' safety and attendance actions.</w:t>
      </w:r>
    </w:p>
    <w:p>
      <w:r>
        <w:t>The output contributed to the stronger-than-target caregiver confidence result at outcome level. It also provided a practical accountability route for identifying school-level concerns that were not visible in routine attendance data.</w:t>
      </w:r>
    </w:p>
    <w:p>
      <w:pPr>
        <w:pStyle w:val="Heading1"/>
      </w:pPr>
      <w:r>
        <w:t>5. Beneficiary Reach and Disaggregation</w:t>
      </w:r>
    </w:p>
    <w:tbl>
      <w:tblPr>
        <w:tblStyle w:val="TableGrid"/>
        <w:tblW w:type="auto" w:w="0"/>
        <w:jc w:val="center"/>
        <w:tblLayout w:type="autofit"/>
        <w:tblLook w:firstColumn="1" w:firstRow="1" w:lastColumn="0" w:lastRow="0" w:noHBand="0" w:noVBand="1" w:val="04A0"/>
      </w:tblPr>
      <w:tblGrid>
        <w:gridCol w:w="7769"/>
        <w:gridCol w:w="7769"/>
      </w:tblGrid>
      <w:tr>
        <w:tc>
          <w:tcPr>
            <w:tcW w:type="dxa" w:w="7769"/>
            <w:vAlign w:val="top"/>
            <w:shd w:fill="D9EAF7"/>
          </w:tcPr>
          <w:p>
            <w:pPr>
              <w:jc w:val="left"/>
            </w:pPr>
            <w:r/>
            <w:r>
              <w:rPr>
                <w:rFonts w:ascii="Arial" w:hAnsi="Arial"/>
                <w:b/>
                <w:sz w:val="16"/>
              </w:rPr>
              <w:t>Beneficiary group</w:t>
            </w:r>
          </w:p>
        </w:tc>
        <w:tc>
          <w:tcPr>
            <w:tcW w:type="dxa" w:w="7769"/>
            <w:vAlign w:val="top"/>
            <w:shd w:fill="D9EAF7"/>
          </w:tcPr>
          <w:p>
            <w:pPr>
              <w:jc w:val="left"/>
            </w:pPr>
            <w:r/>
            <w:r>
              <w:rPr>
                <w:rFonts w:ascii="Arial" w:hAnsi="Arial"/>
                <w:b/>
                <w:sz w:val="16"/>
              </w:rPr>
              <w:t>Year 2 actual</w:t>
            </w:r>
          </w:p>
        </w:tc>
      </w:tr>
      <w:tr>
        <w:tc>
          <w:tcPr>
            <w:tcW w:type="dxa" w:w="7769"/>
            <w:vAlign w:val="top"/>
          </w:tcPr>
          <w:p>
            <w:pPr>
              <w:jc w:val="left"/>
            </w:pPr>
            <w:r/>
            <w:r>
              <w:rPr>
                <w:rFonts w:ascii="Arial" w:hAnsi="Arial"/>
                <w:b w:val="0"/>
                <w:sz w:val="16"/>
              </w:rPr>
              <w:t>Girls directly reached through menstrual health sessions, dignity kits, and girls' clubs</w:t>
            </w:r>
          </w:p>
        </w:tc>
        <w:tc>
          <w:tcPr>
            <w:tcW w:type="dxa" w:w="7769"/>
            <w:vAlign w:val="top"/>
          </w:tcPr>
          <w:p>
            <w:pPr>
              <w:jc w:val="left"/>
            </w:pPr>
            <w:r/>
            <w:r>
              <w:rPr>
                <w:rFonts w:ascii="Arial" w:hAnsi="Arial"/>
                <w:b w:val="0"/>
                <w:sz w:val="16"/>
              </w:rPr>
              <w:t>15,230</w:t>
            </w:r>
          </w:p>
        </w:tc>
      </w:tr>
      <w:tr>
        <w:tc>
          <w:tcPr>
            <w:tcW w:type="dxa" w:w="7769"/>
            <w:vAlign w:val="top"/>
          </w:tcPr>
          <w:p>
            <w:pPr>
              <w:jc w:val="left"/>
            </w:pPr>
            <w:r/>
            <w:r>
              <w:rPr>
                <w:rFonts w:ascii="Arial" w:hAnsi="Arial"/>
                <w:b w:val="0"/>
                <w:sz w:val="16"/>
              </w:rPr>
              <w:t>Girls aged 10-14</w:t>
            </w:r>
          </w:p>
        </w:tc>
        <w:tc>
          <w:tcPr>
            <w:tcW w:type="dxa" w:w="7769"/>
            <w:vAlign w:val="top"/>
          </w:tcPr>
          <w:p>
            <w:pPr>
              <w:jc w:val="left"/>
            </w:pPr>
            <w:r/>
            <w:r>
              <w:rPr>
                <w:rFonts w:ascii="Arial" w:hAnsi="Arial"/>
                <w:b w:val="0"/>
                <w:sz w:val="16"/>
              </w:rPr>
              <w:t>10,920</w:t>
            </w:r>
          </w:p>
        </w:tc>
      </w:tr>
      <w:tr>
        <w:tc>
          <w:tcPr>
            <w:tcW w:type="dxa" w:w="7769"/>
            <w:vAlign w:val="top"/>
          </w:tcPr>
          <w:p>
            <w:pPr>
              <w:jc w:val="left"/>
            </w:pPr>
            <w:r/>
            <w:r>
              <w:rPr>
                <w:rFonts w:ascii="Arial" w:hAnsi="Arial"/>
                <w:b w:val="0"/>
                <w:sz w:val="16"/>
              </w:rPr>
              <w:t>Girls aged 15-18</w:t>
            </w:r>
          </w:p>
        </w:tc>
        <w:tc>
          <w:tcPr>
            <w:tcW w:type="dxa" w:w="7769"/>
            <w:vAlign w:val="top"/>
          </w:tcPr>
          <w:p>
            <w:pPr>
              <w:jc w:val="left"/>
            </w:pPr>
            <w:r/>
            <w:r>
              <w:rPr>
                <w:rFonts w:ascii="Arial" w:hAnsi="Arial"/>
                <w:b w:val="0"/>
                <w:sz w:val="16"/>
              </w:rPr>
              <w:t>4,310</w:t>
            </w:r>
          </w:p>
        </w:tc>
      </w:tr>
      <w:tr>
        <w:tc>
          <w:tcPr>
            <w:tcW w:type="dxa" w:w="7769"/>
            <w:vAlign w:val="top"/>
          </w:tcPr>
          <w:p>
            <w:pPr>
              <w:jc w:val="left"/>
            </w:pPr>
            <w:r/>
            <w:r>
              <w:rPr>
                <w:rFonts w:ascii="Arial" w:hAnsi="Arial"/>
                <w:b w:val="0"/>
                <w:sz w:val="16"/>
              </w:rPr>
              <w:t>Girls with a reported disability</w:t>
            </w:r>
          </w:p>
        </w:tc>
        <w:tc>
          <w:tcPr>
            <w:tcW w:type="dxa" w:w="7769"/>
            <w:vAlign w:val="top"/>
          </w:tcPr>
          <w:p>
            <w:pPr>
              <w:jc w:val="left"/>
            </w:pPr>
            <w:r/>
            <w:r>
              <w:rPr>
                <w:rFonts w:ascii="Arial" w:hAnsi="Arial"/>
                <w:b w:val="0"/>
                <w:sz w:val="16"/>
              </w:rPr>
              <w:t>812</w:t>
            </w:r>
          </w:p>
        </w:tc>
      </w:tr>
      <w:tr>
        <w:tc>
          <w:tcPr>
            <w:tcW w:type="dxa" w:w="7769"/>
            <w:vAlign w:val="top"/>
          </w:tcPr>
          <w:p>
            <w:pPr>
              <w:jc w:val="left"/>
            </w:pPr>
            <w:r/>
            <w:r>
              <w:rPr>
                <w:rFonts w:ascii="Arial" w:hAnsi="Arial"/>
                <w:b w:val="0"/>
                <w:sz w:val="16"/>
              </w:rPr>
              <w:t>Girls supported after recent re-entry to school</w:t>
            </w:r>
          </w:p>
        </w:tc>
        <w:tc>
          <w:tcPr>
            <w:tcW w:type="dxa" w:w="7769"/>
            <w:vAlign w:val="top"/>
          </w:tcPr>
          <w:p>
            <w:pPr>
              <w:jc w:val="left"/>
            </w:pPr>
            <w:r/>
            <w:r>
              <w:rPr>
                <w:rFonts w:ascii="Arial" w:hAnsi="Arial"/>
                <w:b w:val="0"/>
                <w:sz w:val="16"/>
              </w:rPr>
              <w:t>1,184</w:t>
            </w:r>
          </w:p>
        </w:tc>
      </w:tr>
      <w:tr>
        <w:tc>
          <w:tcPr>
            <w:tcW w:type="dxa" w:w="7769"/>
            <w:vAlign w:val="top"/>
          </w:tcPr>
          <w:p>
            <w:pPr>
              <w:jc w:val="left"/>
            </w:pPr>
            <w:r/>
            <w:r>
              <w:rPr>
                <w:rFonts w:ascii="Arial" w:hAnsi="Arial"/>
                <w:b w:val="0"/>
                <w:sz w:val="16"/>
              </w:rPr>
              <w:t>Teachers and safeguarding focal points trained</w:t>
            </w:r>
          </w:p>
        </w:tc>
        <w:tc>
          <w:tcPr>
            <w:tcW w:type="dxa" w:w="7769"/>
            <w:vAlign w:val="top"/>
          </w:tcPr>
          <w:p>
            <w:pPr>
              <w:jc w:val="left"/>
            </w:pPr>
            <w:r/>
            <w:r>
              <w:rPr>
                <w:rFonts w:ascii="Arial" w:hAnsi="Arial"/>
                <w:b w:val="0"/>
                <w:sz w:val="16"/>
              </w:rPr>
              <w:t>391</w:t>
            </w:r>
          </w:p>
        </w:tc>
      </w:tr>
      <w:tr>
        <w:tc>
          <w:tcPr>
            <w:tcW w:type="dxa" w:w="7769"/>
            <w:vAlign w:val="top"/>
          </w:tcPr>
          <w:p>
            <w:pPr>
              <w:jc w:val="left"/>
            </w:pPr>
            <w:r/>
            <w:r>
              <w:rPr>
                <w:rFonts w:ascii="Arial" w:hAnsi="Arial"/>
                <w:b w:val="0"/>
                <w:sz w:val="16"/>
              </w:rPr>
              <w:t>Female teachers/focal points trained</w:t>
            </w:r>
          </w:p>
        </w:tc>
        <w:tc>
          <w:tcPr>
            <w:tcW w:type="dxa" w:w="7769"/>
            <w:vAlign w:val="top"/>
          </w:tcPr>
          <w:p>
            <w:pPr>
              <w:jc w:val="left"/>
            </w:pPr>
            <w:r/>
            <w:r>
              <w:rPr>
                <w:rFonts w:ascii="Arial" w:hAnsi="Arial"/>
                <w:b w:val="0"/>
                <w:sz w:val="16"/>
              </w:rPr>
              <w:t>236</w:t>
            </w:r>
          </w:p>
        </w:tc>
      </w:tr>
      <w:tr>
        <w:tc>
          <w:tcPr>
            <w:tcW w:type="dxa" w:w="7769"/>
            <w:vAlign w:val="top"/>
          </w:tcPr>
          <w:p>
            <w:pPr>
              <w:jc w:val="left"/>
            </w:pPr>
            <w:r/>
            <w:r>
              <w:rPr>
                <w:rFonts w:ascii="Arial" w:hAnsi="Arial"/>
                <w:b w:val="0"/>
                <w:sz w:val="16"/>
              </w:rPr>
              <w:t>Male teachers/focal points trained</w:t>
            </w:r>
          </w:p>
        </w:tc>
        <w:tc>
          <w:tcPr>
            <w:tcW w:type="dxa" w:w="7769"/>
            <w:vAlign w:val="top"/>
          </w:tcPr>
          <w:p>
            <w:pPr>
              <w:jc w:val="left"/>
            </w:pPr>
            <w:r/>
            <w:r>
              <w:rPr>
                <w:rFonts w:ascii="Arial" w:hAnsi="Arial"/>
                <w:b w:val="0"/>
                <w:sz w:val="16"/>
              </w:rPr>
              <w:t>155</w:t>
            </w:r>
          </w:p>
        </w:tc>
      </w:tr>
      <w:tr>
        <w:tc>
          <w:tcPr>
            <w:tcW w:type="dxa" w:w="7769"/>
            <w:vAlign w:val="top"/>
          </w:tcPr>
          <w:p>
            <w:pPr>
              <w:jc w:val="left"/>
            </w:pPr>
            <w:r/>
            <w:r>
              <w:rPr>
                <w:rFonts w:ascii="Arial" w:hAnsi="Arial"/>
                <w:b w:val="0"/>
                <w:sz w:val="16"/>
              </w:rPr>
              <w:t>Caregivers participating in confidence and safety surveys</w:t>
            </w:r>
          </w:p>
        </w:tc>
        <w:tc>
          <w:tcPr>
            <w:tcW w:type="dxa" w:w="7769"/>
            <w:vAlign w:val="top"/>
          </w:tcPr>
          <w:p>
            <w:pPr>
              <w:jc w:val="left"/>
            </w:pPr>
            <w:r/>
            <w:r>
              <w:rPr>
                <w:rFonts w:ascii="Arial" w:hAnsi="Arial"/>
                <w:b w:val="0"/>
                <w:sz w:val="16"/>
              </w:rPr>
              <w:t>5,126</w:t>
            </w:r>
          </w:p>
        </w:tc>
      </w:tr>
      <w:tr>
        <w:tc>
          <w:tcPr>
            <w:tcW w:type="dxa" w:w="7769"/>
            <w:vAlign w:val="top"/>
          </w:tcPr>
          <w:p>
            <w:pPr>
              <w:jc w:val="left"/>
            </w:pPr>
            <w:r/>
            <w:r>
              <w:rPr>
                <w:rFonts w:ascii="Arial" w:hAnsi="Arial"/>
                <w:b w:val="0"/>
                <w:sz w:val="16"/>
              </w:rPr>
              <w:t>Wider parent/community dialogue participants</w:t>
            </w:r>
          </w:p>
        </w:tc>
        <w:tc>
          <w:tcPr>
            <w:tcW w:type="dxa" w:w="7769"/>
            <w:vAlign w:val="top"/>
          </w:tcPr>
          <w:p>
            <w:pPr>
              <w:jc w:val="left"/>
            </w:pPr>
            <w:r/>
            <w:r>
              <w:rPr>
                <w:rFonts w:ascii="Arial" w:hAnsi="Arial"/>
                <w:b w:val="0"/>
                <w:sz w:val="16"/>
              </w:rPr>
              <w:t>8,460</w:t>
            </w:r>
          </w:p>
        </w:tc>
      </w:tr>
      <w:tr>
        <w:tc>
          <w:tcPr>
            <w:tcW w:type="dxa" w:w="7769"/>
            <w:vAlign w:val="top"/>
          </w:tcPr>
          <w:p>
            <w:pPr>
              <w:jc w:val="left"/>
            </w:pPr>
            <w:r/>
            <w:r>
              <w:rPr>
                <w:rFonts w:ascii="Arial" w:hAnsi="Arial"/>
                <w:b w:val="0"/>
                <w:sz w:val="16"/>
              </w:rPr>
              <w:t>Women participating in parent/community dialogues</w:t>
            </w:r>
          </w:p>
        </w:tc>
        <w:tc>
          <w:tcPr>
            <w:tcW w:type="dxa" w:w="7769"/>
            <w:vAlign w:val="top"/>
          </w:tcPr>
          <w:p>
            <w:pPr>
              <w:jc w:val="left"/>
            </w:pPr>
            <w:r/>
            <w:r>
              <w:rPr>
                <w:rFonts w:ascii="Arial" w:hAnsi="Arial"/>
                <w:b w:val="0"/>
                <w:sz w:val="16"/>
              </w:rPr>
              <w:t>5,290</w:t>
            </w:r>
          </w:p>
        </w:tc>
      </w:tr>
      <w:tr>
        <w:tc>
          <w:tcPr>
            <w:tcW w:type="dxa" w:w="7769"/>
            <w:vAlign w:val="top"/>
          </w:tcPr>
          <w:p>
            <w:pPr>
              <w:jc w:val="left"/>
            </w:pPr>
            <w:r/>
            <w:r>
              <w:rPr>
                <w:rFonts w:ascii="Arial" w:hAnsi="Arial"/>
                <w:b w:val="0"/>
                <w:sz w:val="16"/>
              </w:rPr>
              <w:t>Men participating in parent/community dialogues</w:t>
            </w:r>
          </w:p>
        </w:tc>
        <w:tc>
          <w:tcPr>
            <w:tcW w:type="dxa" w:w="7769"/>
            <w:vAlign w:val="top"/>
          </w:tcPr>
          <w:p>
            <w:pPr>
              <w:jc w:val="left"/>
            </w:pPr>
            <w:r/>
            <w:r>
              <w:rPr>
                <w:rFonts w:ascii="Arial" w:hAnsi="Arial"/>
                <w:b w:val="0"/>
                <w:sz w:val="16"/>
              </w:rPr>
              <w:t>3,170</w:t>
            </w:r>
          </w:p>
        </w:tc>
      </w:tr>
      <w:tr>
        <w:tc>
          <w:tcPr>
            <w:tcW w:type="dxa" w:w="7769"/>
            <w:vAlign w:val="top"/>
          </w:tcPr>
          <w:p>
            <w:pPr>
              <w:jc w:val="left"/>
            </w:pPr>
            <w:r/>
            <w:r>
              <w:rPr>
                <w:rFonts w:ascii="Arial" w:hAnsi="Arial"/>
                <w:b w:val="0"/>
                <w:sz w:val="16"/>
              </w:rPr>
              <w:t>Target schools reached</w:t>
            </w:r>
          </w:p>
        </w:tc>
        <w:tc>
          <w:tcPr>
            <w:tcW w:type="dxa" w:w="7769"/>
            <w:vAlign w:val="top"/>
          </w:tcPr>
          <w:p>
            <w:pPr>
              <w:jc w:val="left"/>
            </w:pPr>
            <w:r/>
            <w:r>
              <w:rPr>
                <w:rFonts w:ascii="Arial" w:hAnsi="Arial"/>
                <w:b w:val="0"/>
                <w:sz w:val="16"/>
              </w:rPr>
              <w:t>40</w:t>
            </w:r>
          </w:p>
        </w:tc>
      </w:tr>
    </w:tbl>
    <w:p/>
    <w:p>
      <w:r>
        <w:t>Disability and re-entry categories are not additive because some girls appear in more than one vulnerability category.</w:t>
      </w:r>
    </w:p>
    <w:p>
      <w:pPr>
        <w:pStyle w:val="Heading1"/>
      </w:pPr>
      <w:r>
        <w:t>6. Delivery Against Plan</w:t>
      </w:r>
    </w:p>
    <w:p>
      <w:r>
        <w:t>Delivery was broadly in line with the Year 2 workplan.</w:t>
      </w:r>
    </w:p>
    <w:p>
      <w:r>
        <w:t>Completed activities included WASH rehabilitation in 38 schools, distribution of dignity kits and menstrual health materials, girls' club mentor training, caregiver survey rounds, school improvement planning, and most teacher safeguarding training.</w:t>
      </w:r>
    </w:p>
    <w:p>
      <w:r>
        <w:t>The main delays were in two WASH rehabilitation sites and one safeguarding cascade round. The WASH delays were operational and are expected to be resolved by 30 June 2026. The safeguarding delay is more significant because it affected the quality and consistency of case-log use. The programme should treat this as a management issue rather than a minor scheduling delay.</w:t>
      </w:r>
    </w:p>
    <w:p>
      <w:r>
        <w:t>No formal programme restructuring is required. However, Year 3 sequencing should be adjusted so that safeguarding coaching and referral-log practice are strengthened before further expansion of peer-led activities.</w:t>
      </w:r>
    </w:p>
    <w:p>
      <w:pPr>
        <w:pStyle w:val="Heading1"/>
      </w:pPr>
      <w:r>
        <w:t>7. Value for Money</w:t>
      </w:r>
    </w:p>
    <w:p>
      <w:r>
        <w:t>The programme delivered acceptable value for money in Year 2.</w:t>
      </w:r>
    </w:p>
    <w:p>
      <w:r>
        <w:t>Year 2 expenditure was £812,600 against an approved budget of £870,000, equal to 93.4%. The annual underspend of £57,400 was caused by deferred safeguarding training and procurement savings on construction materials. Cumulative expenditure reached £1,481,500 by 31 March 2026, equal to 46.6% of the total approved budget. This is reasonable for the midpoint of a four-year programme given the heavier infrastructure investment planned in Years 1 and 2.</w:t>
      </w:r>
    </w:p>
    <w:p>
      <w:r>
        <w:t>Economy improved through combined procurement of latrine materials, producing a recorded saving of £21,800 against the Year 2 procurement estimate. Efficiency was strongest in Output 2, where direct reach exceeded target without a corresponding budget increase. A simple Year 2 calculation gives an indicative direct cost of £53 per girl reached, using annual expenditure of £812,600 divided by 15,230 girls directly reached. This is not a full cost-effectiveness measure because the same expenditure also funded infrastructure, teacher training, and community accountability activities.</w:t>
      </w:r>
    </w:p>
    <w:p>
      <w:r>
        <w:t>Effectiveness is mixed. Outputs 1, 2, and 4 justify continued investment. Output 3 requires closer management because safeguarding quality is essential to the outcome and cannot be treated as a secondary activity.</w:t>
      </w:r>
    </w:p>
    <w:p>
      <w:r>
        <w:t>Equity was adequately considered. The programme disaggregated reach by age, sex, disability, and re-entry status. Girls with disabilities accounted for 812 of the girls directly reached. The programme should improve disability-accessibility documentation for completed WASH facilities in Year 3.</w:t>
      </w:r>
    </w:p>
    <w:p>
      <w:pPr>
        <w:pStyle w:val="Heading1"/>
      </w:pPr>
      <w:r>
        <w:t>8. Risk Assessment</w:t>
      </w:r>
    </w:p>
    <w:tbl>
      <w:tblPr>
        <w:tblStyle w:val="TableGrid"/>
        <w:tblW w:type="auto" w:w="0"/>
        <w:jc w:val="center"/>
        <w:tblLayout w:type="autofit"/>
        <w:tblLook w:firstColumn="1" w:firstRow="1" w:lastColumn="0" w:lastRow="0" w:noHBand="0" w:noVBand="1" w:val="04A0"/>
      </w:tblPr>
      <w:tblGrid>
        <w:gridCol w:w="3108"/>
        <w:gridCol w:w="3108"/>
        <w:gridCol w:w="3108"/>
        <w:gridCol w:w="3108"/>
        <w:gridCol w:w="3108"/>
      </w:tblGrid>
      <w:tr>
        <w:tc>
          <w:tcPr>
            <w:tcW w:type="dxa" w:w="3108"/>
            <w:vAlign w:val="top"/>
            <w:shd w:fill="D9EAF7"/>
          </w:tcPr>
          <w:p>
            <w:pPr>
              <w:jc w:val="left"/>
            </w:pPr>
            <w:r/>
            <w:r>
              <w:rPr>
                <w:rFonts w:ascii="Arial" w:hAnsi="Arial"/>
                <w:b/>
                <w:sz w:val="16"/>
              </w:rPr>
              <w:t>Risk</w:t>
            </w:r>
          </w:p>
        </w:tc>
        <w:tc>
          <w:tcPr>
            <w:tcW w:type="dxa" w:w="3108"/>
            <w:vAlign w:val="top"/>
            <w:shd w:fill="D9EAF7"/>
          </w:tcPr>
          <w:p>
            <w:pPr>
              <w:jc w:val="left"/>
            </w:pPr>
            <w:r/>
            <w:r>
              <w:rPr>
                <w:rFonts w:ascii="Arial" w:hAnsi="Arial"/>
                <w:b/>
                <w:sz w:val="16"/>
              </w:rPr>
              <w:t>Previous rating</w:t>
            </w:r>
          </w:p>
        </w:tc>
        <w:tc>
          <w:tcPr>
            <w:tcW w:type="dxa" w:w="3108"/>
            <w:vAlign w:val="top"/>
            <w:shd w:fill="D9EAF7"/>
          </w:tcPr>
          <w:p>
            <w:pPr>
              <w:jc w:val="left"/>
            </w:pPr>
            <w:r/>
            <w:r>
              <w:rPr>
                <w:rFonts w:ascii="Arial" w:hAnsi="Arial"/>
                <w:b/>
                <w:sz w:val="16"/>
              </w:rPr>
              <w:t>Current rating</w:t>
            </w:r>
          </w:p>
        </w:tc>
        <w:tc>
          <w:tcPr>
            <w:tcW w:type="dxa" w:w="3108"/>
            <w:vAlign w:val="top"/>
            <w:shd w:fill="D9EAF7"/>
          </w:tcPr>
          <w:p>
            <w:pPr>
              <w:jc w:val="left"/>
            </w:pPr>
            <w:r/>
            <w:r>
              <w:rPr>
                <w:rFonts w:ascii="Arial" w:hAnsi="Arial"/>
                <w:b/>
                <w:sz w:val="16"/>
              </w:rPr>
              <w:t>Direction</w:t>
            </w:r>
          </w:p>
        </w:tc>
        <w:tc>
          <w:tcPr>
            <w:tcW w:type="dxa" w:w="3108"/>
            <w:vAlign w:val="top"/>
            <w:shd w:fill="D9EAF7"/>
          </w:tcPr>
          <w:p>
            <w:pPr>
              <w:jc w:val="left"/>
            </w:pPr>
            <w:r/>
            <w:r>
              <w:rPr>
                <w:rFonts w:ascii="Arial" w:hAnsi="Arial"/>
                <w:b/>
                <w:sz w:val="16"/>
              </w:rPr>
              <w:t>Assessment</w:t>
            </w:r>
          </w:p>
        </w:tc>
      </w:tr>
      <w:tr>
        <w:tc>
          <w:tcPr>
            <w:tcW w:type="dxa" w:w="3108"/>
            <w:vAlign w:val="top"/>
          </w:tcPr>
          <w:p>
            <w:pPr>
              <w:jc w:val="left"/>
            </w:pPr>
            <w:r/>
            <w:r>
              <w:rPr>
                <w:rFonts w:ascii="Arial" w:hAnsi="Arial"/>
                <w:b w:val="0"/>
                <w:sz w:val="16"/>
              </w:rPr>
              <w:t>Procurement and construction delay</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Reduced</w:t>
            </w:r>
          </w:p>
        </w:tc>
        <w:tc>
          <w:tcPr>
            <w:tcW w:type="dxa" w:w="3108"/>
            <w:vAlign w:val="top"/>
          </w:tcPr>
          <w:p>
            <w:pPr>
              <w:jc w:val="left"/>
            </w:pPr>
            <w:r/>
            <w:r>
              <w:rPr>
                <w:rFonts w:ascii="Arial" w:hAnsi="Arial"/>
                <w:b w:val="0"/>
                <w:sz w:val="16"/>
              </w:rPr>
              <w:t>Framework procurement and batch delivery improved in Year 2, though two sites remain delayed</w:t>
            </w:r>
          </w:p>
        </w:tc>
      </w:tr>
      <w:tr>
        <w:tc>
          <w:tcPr>
            <w:tcW w:type="dxa" w:w="3108"/>
            <w:vAlign w:val="top"/>
          </w:tcPr>
          <w:p>
            <w:pPr>
              <w:jc w:val="left"/>
            </w:pPr>
            <w:r/>
            <w:r>
              <w:rPr>
                <w:rFonts w:ascii="Arial" w:hAnsi="Arial"/>
                <w:b w:val="0"/>
                <w:sz w:val="16"/>
              </w:rPr>
              <w:t>Safeguarding implementation quality</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Unchanged</w:t>
            </w:r>
          </w:p>
        </w:tc>
        <w:tc>
          <w:tcPr>
            <w:tcW w:type="dxa" w:w="3108"/>
            <w:vAlign w:val="top"/>
          </w:tcPr>
          <w:p>
            <w:pPr>
              <w:jc w:val="left"/>
            </w:pPr>
            <w:r/>
            <w:r>
              <w:rPr>
                <w:rFonts w:ascii="Arial" w:hAnsi="Arial"/>
                <w:b w:val="0"/>
                <w:sz w:val="16"/>
              </w:rPr>
              <w:t>Training coverage and referral-log use remain below target</w:t>
            </w:r>
          </w:p>
        </w:tc>
      </w:tr>
      <w:tr>
        <w:tc>
          <w:tcPr>
            <w:tcW w:type="dxa" w:w="3108"/>
            <w:vAlign w:val="top"/>
          </w:tcPr>
          <w:p>
            <w:pPr>
              <w:jc w:val="left"/>
            </w:pPr>
            <w:r/>
            <w:r>
              <w:rPr>
                <w:rFonts w:ascii="Arial" w:hAnsi="Arial"/>
                <w:b w:val="0"/>
                <w:sz w:val="16"/>
              </w:rPr>
              <w:t>Attendance data quality</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Unchanged</w:t>
            </w:r>
          </w:p>
        </w:tc>
        <w:tc>
          <w:tcPr>
            <w:tcW w:type="dxa" w:w="3108"/>
            <w:vAlign w:val="top"/>
          </w:tcPr>
          <w:p>
            <w:pPr>
              <w:jc w:val="left"/>
            </w:pPr>
            <w:r/>
            <w:r>
              <w:rPr>
                <w:rFonts w:ascii="Arial" w:hAnsi="Arial"/>
                <w:b w:val="0"/>
                <w:sz w:val="16"/>
              </w:rPr>
              <w:t>Three schools had incomplete March registers; attendance result remains usable but caveated</w:t>
            </w:r>
          </w:p>
        </w:tc>
      </w:tr>
      <w:tr>
        <w:tc>
          <w:tcPr>
            <w:tcW w:type="dxa" w:w="3108"/>
            <w:vAlign w:val="top"/>
          </w:tcPr>
          <w:p>
            <w:pPr>
              <w:jc w:val="left"/>
            </w:pPr>
            <w:r/>
            <w:r>
              <w:rPr>
                <w:rFonts w:ascii="Arial" w:hAnsi="Arial"/>
                <w:b w:val="0"/>
                <w:sz w:val="16"/>
              </w:rPr>
              <w:t>Community resistance to girls' attendance interventions</w:t>
            </w:r>
          </w:p>
        </w:tc>
        <w:tc>
          <w:tcPr>
            <w:tcW w:type="dxa" w:w="3108"/>
            <w:vAlign w:val="top"/>
          </w:tcPr>
          <w:p>
            <w:pPr>
              <w:jc w:val="left"/>
            </w:pPr>
            <w:r/>
            <w:r>
              <w:rPr>
                <w:rFonts w:ascii="Arial" w:hAnsi="Arial"/>
                <w:b w:val="0"/>
                <w:sz w:val="16"/>
              </w:rPr>
              <w:t>Medium</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Reduced</w:t>
            </w:r>
          </w:p>
        </w:tc>
        <w:tc>
          <w:tcPr>
            <w:tcW w:type="dxa" w:w="3108"/>
            <w:vAlign w:val="top"/>
          </w:tcPr>
          <w:p>
            <w:pPr>
              <w:jc w:val="left"/>
            </w:pPr>
            <w:r/>
            <w:r>
              <w:rPr>
                <w:rFonts w:ascii="Arial" w:hAnsi="Arial"/>
                <w:b w:val="0"/>
                <w:sz w:val="16"/>
              </w:rPr>
              <w:t>Caregiver confidence and dialogue participation improved</w:t>
            </w:r>
          </w:p>
        </w:tc>
      </w:tr>
      <w:tr>
        <w:tc>
          <w:tcPr>
            <w:tcW w:type="dxa" w:w="3108"/>
            <w:vAlign w:val="top"/>
          </w:tcPr>
          <w:p>
            <w:pPr>
              <w:jc w:val="left"/>
            </w:pPr>
            <w:r/>
            <w:r>
              <w:rPr>
                <w:rFonts w:ascii="Arial" w:hAnsi="Arial"/>
                <w:b w:val="0"/>
                <w:sz w:val="16"/>
              </w:rPr>
              <w:t>Fiduciary risk</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Low</w:t>
            </w:r>
          </w:p>
        </w:tc>
        <w:tc>
          <w:tcPr>
            <w:tcW w:type="dxa" w:w="3108"/>
            <w:vAlign w:val="top"/>
          </w:tcPr>
          <w:p>
            <w:pPr>
              <w:jc w:val="left"/>
            </w:pPr>
            <w:r/>
            <w:r>
              <w:rPr>
                <w:rFonts w:ascii="Arial" w:hAnsi="Arial"/>
                <w:b w:val="0"/>
                <w:sz w:val="16"/>
              </w:rPr>
              <w:t>Stable</w:t>
            </w:r>
          </w:p>
        </w:tc>
        <w:tc>
          <w:tcPr>
            <w:tcW w:type="dxa" w:w="3108"/>
            <w:vAlign w:val="top"/>
          </w:tcPr>
          <w:p>
            <w:pPr>
              <w:jc w:val="left"/>
            </w:pPr>
            <w:r/>
            <w:r>
              <w:rPr>
                <w:rFonts w:ascii="Arial" w:hAnsi="Arial"/>
                <w:b w:val="0"/>
                <w:sz w:val="16"/>
              </w:rPr>
              <w:t>No ineligible expenditure or unresolved financial documentation issues reported</w:t>
            </w:r>
          </w:p>
        </w:tc>
      </w:tr>
    </w:tbl>
    <w:p/>
    <w:p>
      <w:r>
        <w:t>The overall programme risk rating remains Medium because safeguarding implementation and attendance data quality require continued management attention.</w:t>
      </w:r>
    </w:p>
    <w:p>
      <w:pPr>
        <w:pStyle w:val="Heading1"/>
      </w:pPr>
      <w:r>
        <w:t>9. Safeguarding, Gender, Disability, and Inclusion</w:t>
      </w:r>
    </w:p>
    <w:p>
      <w:r>
        <w:t>Safeguarding systems improved but are not yet consistently embedded. The programme trained 391 teachers and safeguarding focal points, but six schools were not using referral and case-log tools correctly at the end of the period. No SEAH allegations were reported. Thirty-one lower-level safeguarding concerns were logged, of which 23 required referral or escalation; 17 of those 23 were closed or escalated within 30 days.</w:t>
      </w:r>
    </w:p>
    <w:p>
      <w:r>
        <w:t>Gender equality remains central to the programme design. All direct child beneficiaries are girls aged 10-18, with age disaggregation reported for Year 2. Disability inclusion is partially evidenced through the reported reach of 812 girls with disabilities. However, facility-level accessibility evidence is less complete than beneficiary-level disaggregation. Year 3 monitoring should include a specific WASH accessibility checklist.</w:t>
      </w:r>
    </w:p>
    <w:p>
      <w:pPr>
        <w:pStyle w:val="Heading1"/>
      </w:pPr>
      <w:r>
        <w:t>10. Evidence Quality</w:t>
      </w:r>
    </w:p>
    <w:p>
      <w:r>
        <w:t>The evidence base is adequate for Annual Review purposes, with caveats.</w:t>
      </w:r>
    </w:p>
    <w:p>
      <w:r>
        <w:t>Strongest evidence sources are the indicator tracker, school spot-check reports, training attendance sheets, caregiver survey dataset, and verified activity logs. Weaker evidence areas are attendance completeness and referral-log quality. Attendance data is based on 37 of 40 schools because three schools had incomplete March registers. Referral timeliness was reconstructed from partner narrative notes and case-log extracts rather than a complete spreadsheet field.</w:t>
      </w:r>
    </w:p>
    <w:p>
      <w:r>
        <w:t>The review uses the cleaned HQ figure of 15,230 girls reached, not the partner's initial 15,318 figure, because duplicate entries were identified during consolidation.</w:t>
      </w:r>
    </w:p>
    <w:p>
      <w:pPr>
        <w:pStyle w:val="Heading1"/>
      </w:pPr>
      <w:r>
        <w:t>11. Lessons and Adaptation</w:t>
      </w:r>
    </w:p>
    <w:p>
      <w:r>
        <w:t>The main lesson from Year 2 is that infrastructure and direct service activities can move faster than school-level safeguarding practice. The programme design assumed that safeguarding procedures would be adopted after training. Year 2 evidence shows that training alone is not enough. Schools need repeated coaching, practical case-log review, and head-teacher accountability.</w:t>
      </w:r>
    </w:p>
    <w:p>
      <w:r>
        <w:t>A second lesson is that caregiver engagement improves confidence when linked to visible school improvements. The caregiver confidence indicator exceeded target, and field notes link this to latrine completion, girls' club activity, and regular parent dialogue.</w:t>
      </w:r>
    </w:p>
    <w:p>
      <w:r>
        <w:t>A third lesson is that the programme needs stronger attendance data controls. The missing registers in three schools did not invalidate the direction of travel, but they reduced confidence in the exact attendance percentage.</w:t>
      </w:r>
    </w:p>
    <w:p>
      <w:pPr>
        <w:pStyle w:val="Heading1"/>
      </w:pPr>
      <w:r>
        <w:t>12. Recommendations and Management Actions</w:t>
      </w:r>
    </w:p>
    <w:tbl>
      <w:tblPr>
        <w:tblStyle w:val="TableGrid"/>
        <w:tblW w:type="auto" w:w="0"/>
        <w:jc w:val="center"/>
        <w:tblLayout w:type="autofit"/>
        <w:tblLook w:firstColumn="1" w:firstRow="1" w:lastColumn="0" w:lastRow="0" w:noHBand="0" w:noVBand="1" w:val="04A0"/>
      </w:tblPr>
      <w:tblGrid>
        <w:gridCol w:w="5179"/>
        <w:gridCol w:w="5179"/>
        <w:gridCol w:w="5179"/>
      </w:tblGrid>
      <w:tr>
        <w:tc>
          <w:tcPr>
            <w:tcW w:type="dxa" w:w="5179"/>
            <w:vAlign w:val="top"/>
            <w:shd w:fill="D9EAF7"/>
          </w:tcPr>
          <w:p>
            <w:pPr>
              <w:jc w:val="left"/>
            </w:pPr>
            <w:r/>
            <w:r>
              <w:rPr>
                <w:rFonts w:ascii="Arial" w:hAnsi="Arial"/>
                <w:b/>
                <w:sz w:val="16"/>
              </w:rPr>
              <w:t>Recommendation</w:t>
            </w:r>
          </w:p>
        </w:tc>
        <w:tc>
          <w:tcPr>
            <w:tcW w:type="dxa" w:w="5179"/>
            <w:vAlign w:val="top"/>
            <w:shd w:fill="D9EAF7"/>
          </w:tcPr>
          <w:p>
            <w:pPr>
              <w:jc w:val="left"/>
            </w:pPr>
            <w:r/>
            <w:r>
              <w:rPr>
                <w:rFonts w:ascii="Arial" w:hAnsi="Arial"/>
                <w:b/>
                <w:sz w:val="16"/>
              </w:rPr>
              <w:t>Owner</w:t>
            </w:r>
          </w:p>
        </w:tc>
        <w:tc>
          <w:tcPr>
            <w:tcW w:type="dxa" w:w="5179"/>
            <w:vAlign w:val="top"/>
            <w:shd w:fill="D9EAF7"/>
          </w:tcPr>
          <w:p>
            <w:pPr>
              <w:jc w:val="left"/>
            </w:pPr>
            <w:r/>
            <w:r>
              <w:rPr>
                <w:rFonts w:ascii="Arial" w:hAnsi="Arial"/>
                <w:b/>
                <w:sz w:val="16"/>
              </w:rPr>
              <w:t>Deadline</w:t>
            </w:r>
          </w:p>
        </w:tc>
      </w:tr>
      <w:tr>
        <w:tc>
          <w:tcPr>
            <w:tcW w:type="dxa" w:w="5179"/>
            <w:vAlign w:val="top"/>
          </w:tcPr>
          <w:p>
            <w:pPr>
              <w:jc w:val="left"/>
            </w:pPr>
            <w:r/>
            <w:r>
              <w:rPr>
                <w:rFonts w:ascii="Arial" w:hAnsi="Arial"/>
                <w:b w:val="0"/>
                <w:sz w:val="16"/>
              </w:rPr>
              <w:t>Complete the two delayed WASH rehabilitation works and verify functionality through spot checks</w:t>
            </w:r>
          </w:p>
        </w:tc>
        <w:tc>
          <w:tcPr>
            <w:tcW w:type="dxa" w:w="5179"/>
            <w:vAlign w:val="top"/>
          </w:tcPr>
          <w:p>
            <w:pPr>
              <w:jc w:val="left"/>
            </w:pPr>
            <w:r/>
            <w:r>
              <w:rPr>
                <w:rFonts w:ascii="Arial" w:hAnsi="Arial"/>
                <w:b w:val="0"/>
                <w:sz w:val="16"/>
              </w:rPr>
              <w:t>Amara Water and Sanitation Trust</w:t>
            </w:r>
          </w:p>
        </w:tc>
        <w:tc>
          <w:tcPr>
            <w:tcW w:type="dxa" w:w="5179"/>
            <w:vAlign w:val="top"/>
          </w:tcPr>
          <w:p>
            <w:pPr>
              <w:jc w:val="left"/>
            </w:pPr>
            <w:r/>
            <w:r>
              <w:rPr>
                <w:rFonts w:ascii="Arial" w:hAnsi="Arial"/>
                <w:b w:val="0"/>
                <w:sz w:val="16"/>
              </w:rPr>
              <w:t>30 June 2026</w:t>
            </w:r>
          </w:p>
        </w:tc>
      </w:tr>
      <w:tr>
        <w:tc>
          <w:tcPr>
            <w:tcW w:type="dxa" w:w="5179"/>
            <w:vAlign w:val="top"/>
          </w:tcPr>
          <w:p>
            <w:pPr>
              <w:jc w:val="left"/>
            </w:pPr>
            <w:r/>
            <w:r>
              <w:rPr>
                <w:rFonts w:ascii="Arial" w:hAnsi="Arial"/>
                <w:b w:val="0"/>
                <w:sz w:val="16"/>
              </w:rPr>
              <w:t>Deliver the deferred safeguarding cascade training round</w:t>
            </w:r>
          </w:p>
        </w:tc>
        <w:tc>
          <w:tcPr>
            <w:tcW w:type="dxa" w:w="5179"/>
            <w:vAlign w:val="top"/>
          </w:tcPr>
          <w:p>
            <w:pPr>
              <w:jc w:val="left"/>
            </w:pPr>
            <w:r/>
            <w:r>
              <w:rPr>
                <w:rFonts w:ascii="Arial" w:hAnsi="Arial"/>
                <w:b w:val="0"/>
                <w:sz w:val="16"/>
              </w:rPr>
              <w:t>Kalo Learning Network</w:t>
            </w:r>
          </w:p>
        </w:tc>
        <w:tc>
          <w:tcPr>
            <w:tcW w:type="dxa" w:w="5179"/>
            <w:vAlign w:val="top"/>
          </w:tcPr>
          <w:p>
            <w:pPr>
              <w:jc w:val="left"/>
            </w:pPr>
            <w:r/>
            <w:r>
              <w:rPr>
                <w:rFonts w:ascii="Arial" w:hAnsi="Arial"/>
                <w:b w:val="0"/>
                <w:sz w:val="16"/>
              </w:rPr>
              <w:t>31 July 2026</w:t>
            </w:r>
          </w:p>
        </w:tc>
      </w:tr>
      <w:tr>
        <w:tc>
          <w:tcPr>
            <w:tcW w:type="dxa" w:w="5179"/>
            <w:vAlign w:val="top"/>
          </w:tcPr>
          <w:p>
            <w:pPr>
              <w:jc w:val="left"/>
            </w:pPr>
            <w:r/>
            <w:r>
              <w:rPr>
                <w:rFonts w:ascii="Arial" w:hAnsi="Arial"/>
                <w:b w:val="0"/>
                <w:sz w:val="16"/>
              </w:rPr>
              <w:t>Provide monthly coaching to the six schools not yet using referral and case-log tools correctly</w:t>
            </w:r>
          </w:p>
        </w:tc>
        <w:tc>
          <w:tcPr>
            <w:tcW w:type="dxa" w:w="5179"/>
            <w:vAlign w:val="top"/>
          </w:tcPr>
          <w:p>
            <w:pPr>
              <w:jc w:val="left"/>
            </w:pPr>
            <w:r/>
            <w:r>
              <w:rPr>
                <w:rFonts w:ascii="Arial" w:hAnsi="Arial"/>
                <w:b w:val="0"/>
                <w:sz w:val="16"/>
              </w:rPr>
              <w:t>CedarBridge International and Kalo Learning Network</w:t>
            </w:r>
          </w:p>
        </w:tc>
        <w:tc>
          <w:tcPr>
            <w:tcW w:type="dxa" w:w="5179"/>
            <w:vAlign w:val="top"/>
          </w:tcPr>
          <w:p>
            <w:pPr>
              <w:jc w:val="left"/>
            </w:pPr>
            <w:r/>
            <w:r>
              <w:rPr>
                <w:rFonts w:ascii="Arial" w:hAnsi="Arial"/>
                <w:b w:val="0"/>
                <w:sz w:val="16"/>
              </w:rPr>
              <w:t>From June 2026</w:t>
            </w:r>
          </w:p>
        </w:tc>
      </w:tr>
      <w:tr>
        <w:tc>
          <w:tcPr>
            <w:tcW w:type="dxa" w:w="5179"/>
            <w:vAlign w:val="top"/>
          </w:tcPr>
          <w:p>
            <w:pPr>
              <w:jc w:val="left"/>
            </w:pPr>
            <w:r/>
            <w:r>
              <w:rPr>
                <w:rFonts w:ascii="Arial" w:hAnsi="Arial"/>
                <w:b w:val="0"/>
                <w:sz w:val="16"/>
              </w:rPr>
              <w:t>Add a WASH accessibility checklist to Year 3 verification visits</w:t>
            </w:r>
          </w:p>
        </w:tc>
        <w:tc>
          <w:tcPr>
            <w:tcW w:type="dxa" w:w="5179"/>
            <w:vAlign w:val="top"/>
          </w:tcPr>
          <w:p>
            <w:pPr>
              <w:jc w:val="left"/>
            </w:pPr>
            <w:r/>
            <w:r>
              <w:rPr>
                <w:rFonts w:ascii="Arial" w:hAnsi="Arial"/>
                <w:b w:val="0"/>
                <w:sz w:val="16"/>
              </w:rPr>
              <w:t>CedarBridge International MEL Lead</w:t>
            </w:r>
          </w:p>
        </w:tc>
        <w:tc>
          <w:tcPr>
            <w:tcW w:type="dxa" w:w="5179"/>
            <w:vAlign w:val="top"/>
          </w:tcPr>
          <w:p>
            <w:pPr>
              <w:jc w:val="left"/>
            </w:pPr>
            <w:r/>
            <w:r>
              <w:rPr>
                <w:rFonts w:ascii="Arial" w:hAnsi="Arial"/>
                <w:b w:val="0"/>
                <w:sz w:val="16"/>
              </w:rPr>
              <w:t>31 August 2026</w:t>
            </w:r>
          </w:p>
        </w:tc>
      </w:tr>
      <w:tr>
        <w:tc>
          <w:tcPr>
            <w:tcW w:type="dxa" w:w="5179"/>
            <w:vAlign w:val="top"/>
          </w:tcPr>
          <w:p>
            <w:pPr>
              <w:jc w:val="left"/>
            </w:pPr>
            <w:r/>
            <w:r>
              <w:rPr>
                <w:rFonts w:ascii="Arial" w:hAnsi="Arial"/>
                <w:b w:val="0"/>
                <w:sz w:val="16"/>
              </w:rPr>
              <w:t>Reconstruct and digitise attendance returns for the three schools with incomplete March registers</w:t>
            </w:r>
          </w:p>
        </w:tc>
        <w:tc>
          <w:tcPr>
            <w:tcW w:type="dxa" w:w="5179"/>
            <w:vAlign w:val="top"/>
          </w:tcPr>
          <w:p>
            <w:pPr>
              <w:jc w:val="left"/>
            </w:pPr>
            <w:r/>
            <w:r>
              <w:rPr>
                <w:rFonts w:ascii="Arial" w:hAnsi="Arial"/>
                <w:b w:val="0"/>
                <w:sz w:val="16"/>
              </w:rPr>
              <w:t>Kalo Learning Network</w:t>
            </w:r>
          </w:p>
        </w:tc>
        <w:tc>
          <w:tcPr>
            <w:tcW w:type="dxa" w:w="5179"/>
            <w:vAlign w:val="top"/>
          </w:tcPr>
          <w:p>
            <w:pPr>
              <w:jc w:val="left"/>
            </w:pPr>
            <w:r/>
            <w:r>
              <w:rPr>
                <w:rFonts w:ascii="Arial" w:hAnsi="Arial"/>
                <w:b w:val="0"/>
                <w:sz w:val="16"/>
              </w:rPr>
              <w:t>30 June 2026</w:t>
            </w:r>
          </w:p>
        </w:tc>
      </w:tr>
      <w:tr>
        <w:tc>
          <w:tcPr>
            <w:tcW w:type="dxa" w:w="5179"/>
            <w:vAlign w:val="top"/>
          </w:tcPr>
          <w:p>
            <w:pPr>
              <w:jc w:val="left"/>
            </w:pPr>
            <w:r/>
            <w:r>
              <w:rPr>
                <w:rFonts w:ascii="Arial" w:hAnsi="Arial"/>
                <w:b w:val="0"/>
                <w:sz w:val="16"/>
              </w:rPr>
              <w:t>Sequence Year 3 girls' club expansion after safeguarding coaching in weaker schools</w:t>
            </w:r>
          </w:p>
        </w:tc>
        <w:tc>
          <w:tcPr>
            <w:tcW w:type="dxa" w:w="5179"/>
            <w:vAlign w:val="top"/>
          </w:tcPr>
          <w:p>
            <w:pPr>
              <w:jc w:val="left"/>
            </w:pPr>
            <w:r/>
            <w:r>
              <w:rPr>
                <w:rFonts w:ascii="Arial" w:hAnsi="Arial"/>
                <w:b w:val="0"/>
                <w:sz w:val="16"/>
              </w:rPr>
              <w:t>Programme Steering Group</w:t>
            </w:r>
          </w:p>
        </w:tc>
        <w:tc>
          <w:tcPr>
            <w:tcW w:type="dxa" w:w="5179"/>
            <w:vAlign w:val="top"/>
          </w:tcPr>
          <w:p>
            <w:pPr>
              <w:jc w:val="left"/>
            </w:pPr>
            <w:r/>
            <w:r>
              <w:rPr>
                <w:rFonts w:ascii="Arial" w:hAnsi="Arial"/>
                <w:b w:val="0"/>
                <w:sz w:val="16"/>
              </w:rPr>
              <w:t>July 2026 workplan revision</w:t>
            </w:r>
          </w:p>
        </w:tc>
      </w:tr>
    </w:tbl>
    <w:p/>
    <w:p>
      <w:pPr>
        <w:pStyle w:val="Heading1"/>
      </w:pPr>
      <w:r>
        <w:t>13. Annual Review Conclusion</w:t>
      </w:r>
    </w:p>
    <w:p>
      <w:r>
        <w:t>Safe Schools, Strong Futures is delivering credible progress at the midpoint of implementation. The programme has improved school WASH conditions, reached more girls than planned through menstrual health and club activities, strengthened caregiver confidence, and maintained reasonable expenditure control.</w:t>
      </w:r>
    </w:p>
    <w:p>
      <w:r>
        <w:t>The programme is not without weaknesses. Safeguarding implementation is behind plan and needs stronger management follow-up. Attendance data quality also requires improvement. These issues are material but manageable.</w:t>
      </w:r>
    </w:p>
    <w:p>
      <w:r>
        <w:t>The programme should continue with targeted corrective action. No formal redesign is required at this stage.</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Synthetic FCDO Annual Review Fixture - Fictional test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