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FACT-TRACE MAP</w:t>
      </w:r>
    </w:p>
    <w:p>
      <w:pPr>
        <w:pStyle w:val="Heading1"/>
      </w:pPr>
      <w:r>
        <w:t>Synthetic test material notice</w:t>
      </w:r>
    </w:p>
    <w:p>
      <w:r>
        <w:t>This is the answer key for the synthetic fixture. It maps material facts and judgement claims in the Golden Annual Review to the exact source item used.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388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Annual Review fact / claim</w:t>
            </w:r>
          </w:p>
        </w:tc>
        <w:tc>
          <w:tcPr>
            <w:tcW w:type="dxa" w:w="388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Source item</w:t>
            </w:r>
          </w:p>
        </w:tc>
        <w:tc>
          <w:tcPr>
            <w:tcW w:type="dxa" w:w="388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Reconciliation / derivation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Programme title is Safe Schools, Strong Futures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1; Source Item 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in proposal and grant agreement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Lead partner is CedarBridge International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1; Source Item 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in proposal and grant agreement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Local partners are Kalo Learning Network and Amara Water and Sanitation Trust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Taken from proposal partner list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Programme reference FIC-NAM-EDU-0447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Taken from grant agreement reference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Programme duration is 1 Apr 2024 to 31 Mar 2028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1; Source Item 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date range, with minor formatting variation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2 review period is 1 Apr 2025 to 31 Mar 2026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Grant agreement reporting clause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Annual Review due date is 15 May 2026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2 report due within 45 days; explicitly stated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Total approved budget is £3,180,000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1; Source Item 2; Source Item 3 finance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across proposal, agreement, finance tracker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2 approved budget is £870,000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2; Source Item 3 finance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across agreement and finance tracker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2 expenditure is £812,600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finance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from finance tab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2 spend is 93.4% of budget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finance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£812,600 / £870,000 = 93.4%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2 underspend is £57,400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finance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£870,000 - £812,600 = £57,400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1 expenditure is £668,900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finance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from finance tab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Cumulative expenditure is £1,481,500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finance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£668,900 + £812,600 = £1,481,500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Cumulative spend is 46.6% of total budget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finance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£1,481,500 / £3,180,000 = 46.6%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Procurement saving of £21,800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finance tab; Source Item 4.2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figure in finance tab and AWST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Impact statement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Taken directly from proposal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Outcome statement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1.4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Taken directly from proposal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OC1 baseline 58%, Y1 62%, Y2 target 68%, actual 66%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1.5; Source Item 3 tracker; 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Target from proposal; actual and caveat from tracker and KLN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OC1 evidence caveat: 37 of 40 schools had complete attendance registers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Tracker and KLN note both identify 37/40 schools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OC2 baseline 12%, Y1 25%, Y2 target 50%, actual 46%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1.5; Source Item 3 tracker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Target from proposal; actual from tracker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OC2 actual based on 18 of 39 assessed schools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Tracker gives 18/39; activity log confirms 39 assessed schools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OC3 baseline 41%, Y1 50%, Y2 target 60%, actual 63%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1.5; Source Item 3 tracker; 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Target from proposal; actual from tracker and programme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Outcome assessment scored A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Sources 19-23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Judgement derived: two indicators close but below target, one above target, credible progress from baseline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1 weighting 30%, risk Medium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Approved output weighting and risk table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1 score A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38/40 schools completed, 76% functionality, 39 committees active; small slippages but broadly met expectation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1.1 actual 38 schools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in tracker and AWST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1.2 actual 76% handwashing functionality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in tracker and AWST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1.3 actual 39 WASH committees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in tracker and AWST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Two WASH sites delayed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Tracker notes two delayed; AWST gives reason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2 weighting 25%, risk Low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Approved output weighting and risk table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2 score A+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 three indicators above target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Girls reached figure is 15,230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 HQ cleaned figure, not KLN initial 15,318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Partner-reported girls reached figure was 15,318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 notes; 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Deliberate discrepancy; resolved to cleaned figure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172 girls' club mentors active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in tracker and KLN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118 teacher mentors and 54 community mentors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Tracker note under indicator 2.2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Menstruation-related absence reduced to 3.0 days per term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from indicator 2.3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Self-reported absence sample was 1,120 girls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Tracker caveat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3 weighting 25%, risk Medium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Approved output weighting and risk table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3 score 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4.1; 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Training, case-log use, and referral timeliness all below target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391 teachers and safeguarding focal points trained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in tracker and KLN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Training target was 420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1.5; Source Item 3 tracker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Proposal target confirmed in tracker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Missed safeguarding cascade training moved to May 2026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4.1; Source Item 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in tracker, KLN note, and activity log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34 schools using referral/case-log tools correctly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Tracker actual; KLN explains six weak schools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Six schools need monthly coaching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4.1; 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 sources identify six weak schools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31 safeguarding concerns logged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KLN narrative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23 concerns required referral/escalation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KLN narrative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17 of 23 referrals closed/escalated within 30 days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KLN narrative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Referral closure rate is 74%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17 / 23 = 73.9%, rounded to 74%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SEAH allegations reported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KLN narrative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4 weighting 20%, risk Low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Approved output weighting and risk table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4 score A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4.3; Source Item 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indicator slightly below, two met/exceeded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148 parent/community dialogues held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in tracker and activity log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Target for parent/community dialogues was 160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1.5; Source Item 3 tracker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Proposal target confirmed in tracker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Some parent dialogues combined during harvest period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Tracker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Caregiver survey respondents totalled 5,126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in tracker and activity log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 school improvement plans updated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Same in tracker and activity log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Overall output score A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score rows in Golden Review; Source Item 1.6; Source Item 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Weighted judgement: A, A+, B, A across 30/25/25/20 weightings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girls reached: 15,230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disaggregation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from disaggregation tab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Girls aged 10-14: 10,920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disaggregation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from disaggregation tab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Girls aged 15-18: 4,310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disaggregation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from disaggregation tab; sums to 15,230 with age 10-14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Girls with reported disability: 812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disaggregation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from disaggregation tab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Girls supported after recent re-entry: 1,184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disaggregation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from disaggregation tab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Disability and re-entry counts are not additive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disaggregation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Tracker note says categories may overlap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Teachers/focal points trained: 391, with 236 female and 155 male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disaggregation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from disaggregation tab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Wider dialogue participants: 8,460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disaggregation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from disaggregation tab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Dialogue participants: 5,290 women and 3,170 men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disaggregation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Direct from disaggregation tab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Caregiver confidence linked to latrines and girls' clubs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Programme manager interpretation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Safeguarding is main management issue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4.1; 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Both KLN and CedarBridge notes identify safeguarding as weak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Infrastructure delay caused by access constraints and late roofing sheets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AWST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Handwashing non-functionality caused by tap heads, water containers, and one loose stand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AWST note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Risk rating remains Medium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1.6; Source Item 3; 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Derived from unchanged safeguarding/data-quality risks despite reduced procurement risk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Procurement risk reduced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4.2; Source Item 3 finance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Procurement savings and only two delayed sites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Attendance data quality risk remains Medium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Three incomplete March registers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Community resistance risk reduced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Caregiver confidence exceeded target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unresolved fiduciary issues reported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2 conditions; Source Item 3 finance tab; 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Finance tab has expenditure; no partner note flags fraud/loss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Value-for-money direct cost per girl is £53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finance tab; Source Item 3 disaggregation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£812,600 / 15,230 = £53.35, rounded to £53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VfM caveat that £53 is not full cost-effectiveness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finance tab; Source Item 3 tracker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Derived because same expenditure funded infrastructure, training, and community work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3 recommendation: complete two delayed WASH works by 30 June 2026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4.2; 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AWST says June possible; CedarBridge recommends 30 June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3 recommendation: deliver safeguarding cascade by end July 2026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4.1; 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KLN says moved to May; CedarBridge recommendation says end July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3 recommendation: monthly coaching for six schools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3 tracker; Source Item 4.1; 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 sources identify six weak schools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3 recommendation: add WASH accessibility checklist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4.3; Source Item 3 disaggregation tab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CedarBridge note identifies thin disability evidence; tracker shows disability data partial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Year 3 recommendation: fix attendance register process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4.1; Source Item 4.3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KLN identifies missing/damaged registers; CedarBridge recommends fix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Photo evidence supports WASH, club, safeguarding, community, and school-plan claims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Captions mapped to output evidence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Activity log supports delivery timing and missed training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5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Activity entries include completed activities and postponed February training</w:t>
            </w:r>
          </w:p>
        </w:tc>
      </w:tr>
      <w:tr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Review avoids personal child data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Item 2; Source Item 4.1; Source Item 6</w:t>
            </w:r>
          </w:p>
        </w:tc>
        <w:tc>
          <w:tcPr>
            <w:tcW w:type="dxa" w:w="38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Agreement prohibits PII; KLN and photo list confirm no names/faces</w:t>
            </w:r>
          </w:p>
        </w:tc>
      </w:tr>
    </w:tbl>
    <w:p/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Synthetic FCDO Annual Review Fixture - Fictional test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