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BridgeLight Education Trust</w:t>
      </w:r>
    </w:p>
    <w:p>
      <w:pPr>
        <w:jc w:val="center"/>
      </w:pPr>
      <w:r>
        <w:rPr>
          <w:i/>
          <w:sz w:val="20"/>
        </w:rPr>
        <w:t>Winning Proposal - Girls Return to Learning and Safety Programme</w:t>
      </w:r>
    </w:p>
    <w:p/>
    <w:tbl>
      <w:tblPr>
        <w:tblStyle w:val="TableGrid"/>
        <w:tblW w:type="auto" w:w="0"/>
        <w:jc w:val="center"/>
        <w:tblLook w:firstColumn="1" w:firstRow="1" w:lastColumn="0" w:lastRow="0" w:noHBand="0" w:noVBand="1" w:val="04A0"/>
      </w:tblPr>
      <w:tblGrid>
        <w:gridCol w:w="5112"/>
        <w:gridCol w:w="5112"/>
      </w:tblGrid>
      <w:tr>
        <w:tc>
          <w:tcPr>
            <w:tcW w:type="dxa" w:w="5112"/>
            <w:vAlign w:val="top"/>
          </w:tcPr>
          <w:p>
            <w:pPr>
              <w:spacing w:after="0" w:before="0"/>
            </w:pPr>
            <w:r/>
            <w:r>
              <w:rPr>
                <w:b/>
                <w:sz w:val="18"/>
              </w:rPr>
              <w:t>File name</w:t>
            </w:r>
          </w:p>
        </w:tc>
        <w:tc>
          <w:tcPr>
            <w:tcW w:type="dxa" w:w="5112"/>
            <w:vAlign w:val="top"/>
          </w:tcPr>
          <w:p>
            <w:pPr>
              <w:spacing w:after="0" w:before="0"/>
            </w:pPr>
            <w:r/>
            <w:r>
              <w:rPr>
                <w:b w:val="0"/>
                <w:sz w:val="18"/>
              </w:rPr>
              <w:t>BridgeLight_FCDO_Girls_Return_to_Learning_Proposal_FINAL_v7_clean-ish.docx</w:t>
            </w:r>
          </w:p>
        </w:tc>
      </w:tr>
      <w:tr>
        <w:tc>
          <w:tcPr>
            <w:tcW w:type="dxa" w:w="5112"/>
            <w:vAlign w:val="top"/>
          </w:tcPr>
          <w:p>
            <w:pPr>
              <w:spacing w:after="0" w:before="0"/>
            </w:pPr>
            <w:r/>
            <w:r>
              <w:rPr>
                <w:b/>
                <w:sz w:val="18"/>
              </w:rPr>
              <w:t>Organisation</w:t>
            </w:r>
          </w:p>
        </w:tc>
        <w:tc>
          <w:tcPr>
            <w:tcW w:type="dxa" w:w="5112"/>
            <w:vAlign w:val="top"/>
          </w:tcPr>
          <w:p>
            <w:pPr>
              <w:spacing w:after="0" w:before="0"/>
            </w:pPr>
            <w:r/>
            <w:r>
              <w:rPr>
                <w:b w:val="0"/>
                <w:sz w:val="18"/>
              </w:rPr>
              <w:t>BridgeLight Education Trust; registered charity England and Wales 1198427</w:t>
            </w:r>
          </w:p>
        </w:tc>
      </w:tr>
      <w:tr>
        <w:tc>
          <w:tcPr>
            <w:tcW w:type="dxa" w:w="5112"/>
            <w:vAlign w:val="top"/>
          </w:tcPr>
          <w:p>
            <w:pPr>
              <w:spacing w:after="0" w:before="0"/>
            </w:pPr>
            <w:r/>
            <w:r>
              <w:rPr>
                <w:b/>
                <w:sz w:val="18"/>
              </w:rPr>
              <w:t>Project title</w:t>
            </w:r>
          </w:p>
        </w:tc>
        <w:tc>
          <w:tcPr>
            <w:tcW w:type="dxa" w:w="5112"/>
            <w:vAlign w:val="top"/>
          </w:tcPr>
          <w:p>
            <w:pPr>
              <w:spacing w:after="0" w:before="0"/>
            </w:pPr>
            <w:r/>
            <w:r>
              <w:rPr>
                <w:b w:val="0"/>
                <w:sz w:val="18"/>
              </w:rPr>
              <w:t>Girls Return to Learning and Safety Programme</w:t>
            </w:r>
          </w:p>
        </w:tc>
      </w:tr>
      <w:tr>
        <w:tc>
          <w:tcPr>
            <w:tcW w:type="dxa" w:w="5112"/>
            <w:vAlign w:val="top"/>
          </w:tcPr>
          <w:p>
            <w:pPr>
              <w:spacing w:after="0" w:before="0"/>
            </w:pPr>
            <w:r/>
            <w:r>
              <w:rPr>
                <w:b/>
                <w:sz w:val="18"/>
              </w:rPr>
              <w:t>Country and districts</w:t>
            </w:r>
          </w:p>
        </w:tc>
        <w:tc>
          <w:tcPr>
            <w:tcW w:type="dxa" w:w="5112"/>
            <w:vAlign w:val="top"/>
          </w:tcPr>
          <w:p>
            <w:pPr>
              <w:spacing w:after="0" w:before="0"/>
            </w:pPr>
            <w:r/>
            <w:r>
              <w:rPr>
                <w:b w:val="0"/>
                <w:sz w:val="18"/>
              </w:rPr>
              <w:t>Malawi: Machinga and Mangochi</w:t>
            </w:r>
          </w:p>
        </w:tc>
      </w:tr>
      <w:tr>
        <w:tc>
          <w:tcPr>
            <w:tcW w:type="dxa" w:w="5112"/>
            <w:vAlign w:val="top"/>
          </w:tcPr>
          <w:p>
            <w:pPr>
              <w:spacing w:after="0" w:before="0"/>
            </w:pPr>
            <w:r/>
            <w:r>
              <w:rPr>
                <w:b/>
                <w:sz w:val="18"/>
              </w:rPr>
              <w:t>Proposal date</w:t>
            </w:r>
          </w:p>
        </w:tc>
        <w:tc>
          <w:tcPr>
            <w:tcW w:type="dxa" w:w="5112"/>
            <w:vAlign w:val="top"/>
          </w:tcPr>
          <w:p>
            <w:pPr>
              <w:spacing w:after="0" w:before="0"/>
            </w:pPr>
            <w:r/>
            <w:r>
              <w:rPr>
                <w:b w:val="0"/>
                <w:sz w:val="18"/>
              </w:rPr>
              <w:t>19 August 2024</w:t>
            </w:r>
          </w:p>
        </w:tc>
      </w:tr>
      <w:tr>
        <w:tc>
          <w:tcPr>
            <w:tcW w:type="dxa" w:w="5112"/>
            <w:vAlign w:val="top"/>
          </w:tcPr>
          <w:p>
            <w:pPr>
              <w:spacing w:after="0" w:before="0"/>
            </w:pPr>
            <w:r/>
            <w:r>
              <w:rPr>
                <w:b/>
                <w:sz w:val="18"/>
              </w:rPr>
              <w:t>File note</w:t>
            </w:r>
          </w:p>
        </w:tc>
        <w:tc>
          <w:tcPr>
            <w:tcW w:type="dxa" w:w="5112"/>
            <w:vAlign w:val="top"/>
          </w:tcPr>
          <w:p>
            <w:pPr>
              <w:spacing w:after="0" w:before="0"/>
            </w:pPr>
            <w:r/>
            <w:r>
              <w:rPr>
                <w:b w:val="0"/>
                <w:sz w:val="18"/>
              </w:rPr>
              <w:t>v7 includes small edits from inception call, not fully reconciled with finance sheet.</w:t>
            </w:r>
          </w:p>
        </w:tc>
      </w:tr>
    </w:tbl>
    <w:p/>
    <w:p>
      <w:pPr>
        <w:pStyle w:val="Heading1"/>
      </w:pPr>
      <w:r>
        <w:t>1. Organisation background</w:t>
      </w:r>
    </w:p>
    <w:p>
      <w:r>
        <w:t>BridgeLight Education Trust is a UK-registered international development charity based in Bristol. Since 2016, BridgeLight has worked with district education offices, community-based organisations, parent-teacher associations and girls' clubs in Malawi and Tanzania.</w:t>
      </w:r>
    </w:p>
    <w:p>
      <w:r>
        <w:t>BridgeLight's Malawi country team is based in Zomba, with district coordinators in Machinga and Mangochi. The team has implemented three education access projects since 2018, including the Safe Steps to School pilot in Machinga, which supported 1,480 learners, mostly girls aged 10-17, to return to school after COVID-19 closures.</w:t>
      </w:r>
    </w:p>
    <w:p>
      <w:pPr>
        <w:pStyle w:val="Heading1"/>
      </w:pPr>
      <w:r>
        <w:t>2. Project summary</w:t>
      </w:r>
    </w:p>
    <w:p>
      <w:r>
        <w:t>The Girls Return to Learning and Safety Programme will run for two years in 40 primary and community day secondary schools across Machinga and Mangochi districts. It will support adolescent girls who have dropped out, are irregularly attending, or are at risk of early marriage.</w:t>
      </w:r>
    </w:p>
    <w:p>
      <w:r>
        <w:t>The programme will directly support 1,200 girls and young women aged 10-19, plus 800 caregivers and 160 school and community actors. It will prioritise girls with disabilities, married adolescent girls seeking school re-entry, girls from ultra-poor households, and girls affected by seasonal migration around Lake Malawi.</w:t>
      </w:r>
    </w:p>
    <w:p>
      <w:r>
        <w:t>The total proposed FCDO budget is GBP 1.184m, excluding in-kind school contributions. The finance worksheet attached to the proposal uses the rounded version '£1.18 million'; the full budget submitted to the portal is £1,184,000.</w:t>
      </w:r>
    </w:p>
    <w:p>
      <w:pPr>
        <w:pStyle w:val="Heading1"/>
      </w:pPr>
      <w:r>
        <w:t>3. Problem statement</w:t>
      </w:r>
    </w:p>
    <w:p>
      <w:r>
        <w:t>In the target schools, girls' attendance and transition remain below district averages. District education officials in Machinga reported that pregnancy, unpaid work, poor menstrual health facilities and household inability to meet school-related costs are the main drivers of dropout among girls aged 12-17.</w:t>
      </w:r>
    </w:p>
    <w:p>
      <w:r>
        <w:t>BridgeLight's 2023 assessment in 18 schools found that 44% of girls interviewed had missed at least five school days in the previous month. Teachers reported that girls who miss more than ten days in a term rarely catch up without remedial support.</w:t>
      </w:r>
    </w:p>
    <w:p>
      <w:pPr>
        <w:pStyle w:val="Heading1"/>
      </w:pPr>
      <w:r>
        <w:t>4. Impact, outcome and outputs</w:t>
      </w:r>
    </w:p>
    <w:p>
      <w:r>
        <w:t>Impact statement: Adolescent girls in Machinga and Mangochi complete basic education in safer, more supportive learning environments.</w:t>
      </w:r>
    </w:p>
    <w:p>
      <w:r>
        <w:t>Outcome statement: By September 2026, adolescent girls targeted by the programme demonstrate improved school retention, attendance and learning continuity, with reduced practical and safeguarding barriers to education.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top"/>
            <w:shd w:fill="D9EAF7"/>
          </w:tcPr>
          <w:p>
            <w:pPr>
              <w:spacing w:after="0" w:before="0"/>
            </w:pPr>
            <w:r/>
            <w:r>
              <w:rPr>
                <w:b/>
                <w:sz w:val="16"/>
              </w:rPr>
              <w:t>Outcome indicator</w:t>
            </w:r>
          </w:p>
        </w:tc>
        <w:tc>
          <w:tcPr>
            <w:tcW w:type="dxa" w:w="2556"/>
            <w:vAlign w:val="top"/>
            <w:shd w:fill="D9EAF7"/>
          </w:tcPr>
          <w:p>
            <w:pPr>
              <w:spacing w:after="0" w:before="0"/>
            </w:pPr>
            <w:r/>
            <w:r>
              <w:rPr>
                <w:b/>
                <w:sz w:val="16"/>
              </w:rPr>
              <w:t>Baseline</w:t>
            </w:r>
          </w:p>
        </w:tc>
        <w:tc>
          <w:tcPr>
            <w:tcW w:type="dxa" w:w="2556"/>
            <w:vAlign w:val="top"/>
            <w:shd w:fill="D9EAF7"/>
          </w:tcPr>
          <w:p>
            <w:pPr>
              <w:spacing w:after="0" w:before="0"/>
            </w:pPr>
            <w:r/>
            <w:r>
              <w:rPr>
                <w:b/>
                <w:sz w:val="16"/>
              </w:rPr>
              <w:t>Year 1 milestone</w:t>
            </w:r>
          </w:p>
        </w:tc>
        <w:tc>
          <w:tcPr>
            <w:tcW w:type="dxa" w:w="2556"/>
            <w:vAlign w:val="top"/>
            <w:shd w:fill="D9EAF7"/>
          </w:tcPr>
          <w:p>
            <w:pPr>
              <w:spacing w:after="0" w:before="0"/>
            </w:pPr>
            <w:r/>
            <w:r>
              <w:rPr>
                <w:b/>
                <w:sz w:val="16"/>
              </w:rPr>
              <w:t>Endline target</w:t>
            </w:r>
          </w:p>
        </w:tc>
      </w:tr>
      <w:tr>
        <w:tc>
          <w:tcPr>
            <w:tcW w:type="dxa" w:w="2556"/>
            <w:vAlign w:val="top"/>
          </w:tcPr>
          <w:p>
            <w:pPr>
              <w:spacing w:after="0" w:before="0"/>
            </w:pPr>
            <w:r/>
            <w:r>
              <w:rPr>
                <w:b w:val="0"/>
                <w:sz w:val="16"/>
              </w:rPr>
              <w:t>OCM1: % of supported girls attending school at least 80% of school days in the last completed term</w:t>
            </w:r>
          </w:p>
        </w:tc>
        <w:tc>
          <w:tcPr>
            <w:tcW w:type="dxa" w:w="2556"/>
            <w:vAlign w:val="top"/>
          </w:tcPr>
          <w:p>
            <w:pPr>
              <w:spacing w:after="0" w:before="0"/>
            </w:pPr>
            <w:r/>
            <w:r>
              <w:rPr>
                <w:b w:val="0"/>
                <w:sz w:val="16"/>
              </w:rPr>
              <w:t>38%</w:t>
            </w:r>
          </w:p>
        </w:tc>
        <w:tc>
          <w:tcPr>
            <w:tcW w:type="dxa" w:w="2556"/>
            <w:vAlign w:val="top"/>
          </w:tcPr>
          <w:p>
            <w:pPr>
              <w:spacing w:after="0" w:before="0"/>
            </w:pPr>
            <w:r/>
            <w:r>
              <w:rPr>
                <w:b w:val="0"/>
                <w:sz w:val="16"/>
              </w:rPr>
              <w:t>55%</w:t>
            </w:r>
          </w:p>
        </w:tc>
        <w:tc>
          <w:tcPr>
            <w:tcW w:type="dxa" w:w="2556"/>
            <w:vAlign w:val="top"/>
          </w:tcPr>
          <w:p>
            <w:pPr>
              <w:spacing w:after="0" w:before="0"/>
            </w:pPr>
            <w:r/>
            <w:r>
              <w:rPr>
                <w:b w:val="0"/>
                <w:sz w:val="16"/>
              </w:rPr>
              <w:t>70%</w:t>
            </w:r>
          </w:p>
        </w:tc>
      </w:tr>
      <w:tr>
        <w:tc>
          <w:tcPr>
            <w:tcW w:type="dxa" w:w="2556"/>
            <w:vAlign w:val="top"/>
          </w:tcPr>
          <w:p>
            <w:pPr>
              <w:spacing w:after="0" w:before="0"/>
            </w:pPr>
            <w:r/>
            <w:r>
              <w:rPr>
                <w:b w:val="0"/>
                <w:sz w:val="16"/>
              </w:rPr>
              <w:t>OCM2: % of supported girls progressing to the next grade or completing re-entry pathway</w:t>
            </w:r>
          </w:p>
        </w:tc>
        <w:tc>
          <w:tcPr>
            <w:tcW w:type="dxa" w:w="2556"/>
            <w:vAlign w:val="top"/>
          </w:tcPr>
          <w:p>
            <w:pPr>
              <w:spacing w:after="0" w:before="0"/>
            </w:pPr>
            <w:r/>
            <w:r>
              <w:rPr>
                <w:b w:val="0"/>
                <w:sz w:val="16"/>
              </w:rPr>
              <w:t>31%</w:t>
            </w:r>
          </w:p>
        </w:tc>
        <w:tc>
          <w:tcPr>
            <w:tcW w:type="dxa" w:w="2556"/>
            <w:vAlign w:val="top"/>
          </w:tcPr>
          <w:p>
            <w:pPr>
              <w:spacing w:after="0" w:before="0"/>
            </w:pPr>
            <w:r/>
            <w:r>
              <w:rPr>
                <w:b w:val="0"/>
                <w:sz w:val="16"/>
              </w:rPr>
              <w:t>48%</w:t>
            </w:r>
          </w:p>
        </w:tc>
        <w:tc>
          <w:tcPr>
            <w:tcW w:type="dxa" w:w="2556"/>
            <w:vAlign w:val="top"/>
          </w:tcPr>
          <w:p>
            <w:pPr>
              <w:spacing w:after="0" w:before="0"/>
            </w:pPr>
            <w:r/>
            <w:r>
              <w:rPr>
                <w:b w:val="0"/>
                <w:sz w:val="16"/>
              </w:rPr>
              <w:t>65%</w:t>
            </w:r>
          </w:p>
        </w:tc>
      </w:tr>
      <w:tr>
        <w:tc>
          <w:tcPr>
            <w:tcW w:type="dxa" w:w="2556"/>
            <w:vAlign w:val="top"/>
          </w:tcPr>
          <w:p>
            <w:pPr>
              <w:spacing w:after="0" w:before="0"/>
            </w:pPr>
            <w:r/>
            <w:r>
              <w:rPr>
                <w:b w:val="0"/>
                <w:sz w:val="16"/>
              </w:rPr>
              <w:t>OCM3: % of girls reporting that school is safe during menstruation and travel</w:t>
            </w:r>
          </w:p>
        </w:tc>
        <w:tc>
          <w:tcPr>
            <w:tcW w:type="dxa" w:w="2556"/>
            <w:vAlign w:val="top"/>
          </w:tcPr>
          <w:p>
            <w:pPr>
              <w:spacing w:after="0" w:before="0"/>
            </w:pPr>
            <w:r/>
            <w:r>
              <w:rPr>
                <w:b w:val="0"/>
                <w:sz w:val="16"/>
              </w:rPr>
              <w:t>41%</w:t>
            </w:r>
          </w:p>
        </w:tc>
        <w:tc>
          <w:tcPr>
            <w:tcW w:type="dxa" w:w="2556"/>
            <w:vAlign w:val="top"/>
          </w:tcPr>
          <w:p>
            <w:pPr>
              <w:spacing w:after="0" w:before="0"/>
            </w:pPr>
            <w:r/>
            <w:r>
              <w:rPr>
                <w:b w:val="0"/>
                <w:sz w:val="16"/>
              </w:rPr>
              <w:t>58%</w:t>
            </w:r>
          </w:p>
        </w:tc>
        <w:tc>
          <w:tcPr>
            <w:tcW w:type="dxa" w:w="2556"/>
            <w:vAlign w:val="top"/>
          </w:tcPr>
          <w:p>
            <w:pPr>
              <w:spacing w:after="0" w:before="0"/>
            </w:pPr>
            <w:r/>
            <w:r>
              <w:rPr>
                <w:b w:val="0"/>
                <w:sz w:val="16"/>
              </w:rPr>
              <w:t>72%</w:t>
            </w:r>
          </w:p>
        </w:tc>
      </w:tr>
    </w:tbl>
    <w:p/>
    <w:p>
      <w:pPr>
        <w:pStyle w:val="Heading1"/>
      </w:pPr>
      <w:r>
        <w:t>5. Output structure and indicators</w:t>
      </w:r>
    </w:p>
    <w:p>
      <w:pPr>
        <w:pStyle w:val="Heading2"/>
      </w:pPr>
      <w:r>
        <w:t>Output 1 - Girls re-enter and remain in education</w:t>
      </w:r>
    </w:p>
    <w:p>
      <w:r>
        <w:t>Impact weighting: 35%; Risk rating: Medium</w:t>
      </w:r>
    </w:p>
    <w:p>
      <w:r>
        <w:t>The project will identify girls who are out of school or at risk of dropout and support them through re-entry counselling, bridge learning sessions, attendance monitoring and case follow-up. By the first Annual Review, the latest internal note in the proposal pack says 612 girls had been re-enrolled by 16 September 2025, although district verification was still being cleaned at the time of drafting.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top"/>
            <w:shd w:fill="D9EAF7"/>
          </w:tcPr>
          <w:p>
            <w:pPr>
              <w:spacing w:after="0" w:before="0"/>
            </w:pPr>
            <w:r/>
            <w:r>
              <w:rPr>
                <w:b/>
                <w:sz w:val="14"/>
              </w:rPr>
              <w:t>Indicator</w:t>
            </w:r>
          </w:p>
        </w:tc>
        <w:tc>
          <w:tcPr>
            <w:tcW w:type="dxa" w:w="2556"/>
            <w:vAlign w:val="top"/>
            <w:shd w:fill="D9EAF7"/>
          </w:tcPr>
          <w:p>
            <w:pPr>
              <w:spacing w:after="0" w:before="0"/>
            </w:pPr>
            <w:r/>
            <w:r>
              <w:rPr>
                <w:b/>
                <w:sz w:val="14"/>
              </w:rPr>
              <w:t>Baseline</w:t>
            </w:r>
          </w:p>
        </w:tc>
        <w:tc>
          <w:tcPr>
            <w:tcW w:type="dxa" w:w="2556"/>
            <w:vAlign w:val="top"/>
            <w:shd w:fill="D9EAF7"/>
          </w:tcPr>
          <w:p>
            <w:pPr>
              <w:spacing w:after="0" w:before="0"/>
            </w:pPr>
            <w:r/>
            <w:r>
              <w:rPr>
                <w:b/>
                <w:sz w:val="14"/>
              </w:rPr>
              <w:t>Year 1 milestone</w:t>
            </w:r>
          </w:p>
        </w:tc>
        <w:tc>
          <w:tcPr>
            <w:tcW w:type="dxa" w:w="2556"/>
            <w:vAlign w:val="top"/>
            <w:shd w:fill="D9EAF7"/>
          </w:tcPr>
          <w:p>
            <w:pPr>
              <w:spacing w:after="0" w:before="0"/>
            </w:pPr>
            <w:r/>
            <w:r>
              <w:rPr>
                <w:b/>
                <w:sz w:val="14"/>
              </w:rPr>
              <w:t>Endline target</w:t>
            </w:r>
          </w:p>
        </w:tc>
      </w:tr>
      <w:tr>
        <w:tc>
          <w:tcPr>
            <w:tcW w:type="dxa" w:w="2556"/>
            <w:vAlign w:val="top"/>
          </w:tcPr>
          <w:p>
            <w:pPr>
              <w:spacing w:after="0" w:before="0"/>
            </w:pPr>
            <w:r/>
            <w:r>
              <w:rPr>
                <w:b w:val="0"/>
                <w:sz w:val="14"/>
              </w:rPr>
              <w:t>OP1.1 Number of out-of-school or at-risk girls re-enrolled or newly retained through support package</w:t>
            </w:r>
          </w:p>
        </w:tc>
        <w:tc>
          <w:tcPr>
            <w:tcW w:type="dxa" w:w="2556"/>
            <w:vAlign w:val="top"/>
          </w:tcPr>
          <w:p>
            <w:pPr>
              <w:spacing w:after="0" w:before="0"/>
            </w:pPr>
            <w:r/>
            <w:r>
              <w:rPr>
                <w:b w:val="0"/>
                <w:sz w:val="14"/>
              </w:rPr>
              <w:t>0</w:t>
            </w:r>
          </w:p>
        </w:tc>
        <w:tc>
          <w:tcPr>
            <w:tcW w:type="dxa" w:w="2556"/>
            <w:vAlign w:val="top"/>
          </w:tcPr>
          <w:p>
            <w:pPr>
              <w:spacing w:after="0" w:before="0"/>
            </w:pPr>
            <w:r/>
            <w:r>
              <w:rPr>
                <w:b w:val="0"/>
                <w:sz w:val="14"/>
              </w:rPr>
              <w:t>650</w:t>
            </w:r>
          </w:p>
        </w:tc>
        <w:tc>
          <w:tcPr>
            <w:tcW w:type="dxa" w:w="2556"/>
            <w:vAlign w:val="top"/>
          </w:tcPr>
          <w:p>
            <w:pPr>
              <w:spacing w:after="0" w:before="0"/>
            </w:pPr>
            <w:r/>
            <w:r>
              <w:rPr>
                <w:b w:val="0"/>
                <w:sz w:val="14"/>
              </w:rPr>
              <w:t>1,200</w:t>
            </w:r>
          </w:p>
        </w:tc>
      </w:tr>
      <w:tr>
        <w:tc>
          <w:tcPr>
            <w:tcW w:type="dxa" w:w="2556"/>
            <w:vAlign w:val="top"/>
          </w:tcPr>
          <w:p>
            <w:pPr>
              <w:spacing w:after="0" w:before="0"/>
            </w:pPr>
            <w:r/>
            <w:r>
              <w:rPr>
                <w:b w:val="0"/>
                <w:sz w:val="14"/>
              </w:rPr>
              <w:t>OP1.2 Number of supported girls attending at least 80% of school days in last completed term</w:t>
            </w:r>
          </w:p>
        </w:tc>
        <w:tc>
          <w:tcPr>
            <w:tcW w:type="dxa" w:w="2556"/>
            <w:vAlign w:val="top"/>
          </w:tcPr>
          <w:p>
            <w:pPr>
              <w:spacing w:after="0" w:before="0"/>
            </w:pPr>
            <w:r/>
            <w:r>
              <w:rPr>
                <w:b w:val="0"/>
                <w:sz w:val="14"/>
              </w:rPr>
              <w:t>0</w:t>
            </w:r>
          </w:p>
        </w:tc>
        <w:tc>
          <w:tcPr>
            <w:tcW w:type="dxa" w:w="2556"/>
            <w:vAlign w:val="top"/>
          </w:tcPr>
          <w:p>
            <w:pPr>
              <w:spacing w:after="0" w:before="0"/>
            </w:pPr>
            <w:r/>
            <w:r>
              <w:rPr>
                <w:b w:val="0"/>
                <w:sz w:val="14"/>
              </w:rPr>
              <w:t>500</w:t>
            </w:r>
          </w:p>
        </w:tc>
        <w:tc>
          <w:tcPr>
            <w:tcW w:type="dxa" w:w="2556"/>
            <w:vAlign w:val="top"/>
          </w:tcPr>
          <w:p>
            <w:pPr>
              <w:spacing w:after="0" w:before="0"/>
            </w:pPr>
            <w:r/>
            <w:r>
              <w:rPr>
                <w:b w:val="0"/>
                <w:sz w:val="14"/>
              </w:rPr>
              <w:t>900</w:t>
            </w:r>
          </w:p>
        </w:tc>
      </w:tr>
      <w:tr>
        <w:tc>
          <w:tcPr>
            <w:tcW w:type="dxa" w:w="2556"/>
            <w:vAlign w:val="top"/>
          </w:tcPr>
          <w:p>
            <w:pPr>
              <w:spacing w:after="0" w:before="0"/>
            </w:pPr>
            <w:r/>
            <w:r>
              <w:rPr>
                <w:b w:val="0"/>
                <w:sz w:val="14"/>
              </w:rPr>
              <w:t>OP1.3 Number of girls completing at least 20 remedial learning sessions</w:t>
            </w:r>
          </w:p>
        </w:tc>
        <w:tc>
          <w:tcPr>
            <w:tcW w:type="dxa" w:w="2556"/>
            <w:vAlign w:val="top"/>
          </w:tcPr>
          <w:p>
            <w:pPr>
              <w:spacing w:after="0" w:before="0"/>
            </w:pPr>
            <w:r/>
            <w:r>
              <w:rPr>
                <w:b w:val="0"/>
                <w:sz w:val="14"/>
              </w:rPr>
              <w:t>0</w:t>
            </w:r>
          </w:p>
        </w:tc>
        <w:tc>
          <w:tcPr>
            <w:tcW w:type="dxa" w:w="2556"/>
            <w:vAlign w:val="top"/>
          </w:tcPr>
          <w:p>
            <w:pPr>
              <w:spacing w:after="0" w:before="0"/>
            </w:pPr>
            <w:r/>
            <w:r>
              <w:rPr>
                <w:b w:val="0"/>
                <w:sz w:val="14"/>
              </w:rPr>
              <w:t>420</w:t>
            </w:r>
          </w:p>
        </w:tc>
        <w:tc>
          <w:tcPr>
            <w:tcW w:type="dxa" w:w="2556"/>
            <w:vAlign w:val="top"/>
          </w:tcPr>
          <w:p>
            <w:pPr>
              <w:spacing w:after="0" w:before="0"/>
            </w:pPr>
            <w:r/>
            <w:r>
              <w:rPr>
                <w:b w:val="0"/>
                <w:sz w:val="14"/>
              </w:rPr>
              <w:t>850</w:t>
            </w:r>
          </w:p>
        </w:tc>
      </w:tr>
    </w:tbl>
    <w:p/>
    <w:p>
      <w:pPr>
        <w:pStyle w:val="Heading2"/>
      </w:pPr>
      <w:r>
        <w:t>Output 2 - Schools provide safer WASH and safeguarding conditions for girls</w:t>
      </w:r>
    </w:p>
    <w:p>
      <w:r>
        <w:t>Impact weighting: 25%; Risk rating: Medium</w:t>
      </w:r>
    </w:p>
    <w:p>
      <w:r>
        <w:t>The programme will improve girls access to safe, usable sanitation and strengthen school-level safeguarding through WASH audits, rehabilitation, menstrual health sessions and referral pathway mapping.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top"/>
            <w:shd w:fill="D9EAF7"/>
          </w:tcPr>
          <w:p>
            <w:pPr>
              <w:spacing w:after="0" w:before="0"/>
            </w:pPr>
            <w:r/>
            <w:r>
              <w:rPr>
                <w:b/>
                <w:sz w:val="14"/>
              </w:rPr>
              <w:t>Indicator</w:t>
            </w:r>
          </w:p>
        </w:tc>
        <w:tc>
          <w:tcPr>
            <w:tcW w:type="dxa" w:w="2556"/>
            <w:vAlign w:val="top"/>
            <w:shd w:fill="D9EAF7"/>
          </w:tcPr>
          <w:p>
            <w:pPr>
              <w:spacing w:after="0" w:before="0"/>
            </w:pPr>
            <w:r/>
            <w:r>
              <w:rPr>
                <w:b/>
                <w:sz w:val="14"/>
              </w:rPr>
              <w:t>Baseline</w:t>
            </w:r>
          </w:p>
        </w:tc>
        <w:tc>
          <w:tcPr>
            <w:tcW w:type="dxa" w:w="2556"/>
            <w:vAlign w:val="top"/>
            <w:shd w:fill="D9EAF7"/>
          </w:tcPr>
          <w:p>
            <w:pPr>
              <w:spacing w:after="0" w:before="0"/>
            </w:pPr>
            <w:r/>
            <w:r>
              <w:rPr>
                <w:b/>
                <w:sz w:val="14"/>
              </w:rPr>
              <w:t>Year 1 milestone</w:t>
            </w:r>
          </w:p>
        </w:tc>
        <w:tc>
          <w:tcPr>
            <w:tcW w:type="dxa" w:w="2556"/>
            <w:vAlign w:val="top"/>
            <w:shd w:fill="D9EAF7"/>
          </w:tcPr>
          <w:p>
            <w:pPr>
              <w:spacing w:after="0" w:before="0"/>
            </w:pPr>
            <w:r/>
            <w:r>
              <w:rPr>
                <w:b/>
                <w:sz w:val="14"/>
              </w:rPr>
              <w:t>Endline target</w:t>
            </w:r>
          </w:p>
        </w:tc>
      </w:tr>
      <w:tr>
        <w:tc>
          <w:tcPr>
            <w:tcW w:type="dxa" w:w="2556"/>
            <w:vAlign w:val="top"/>
          </w:tcPr>
          <w:p>
            <w:pPr>
              <w:spacing w:after="0" w:before="0"/>
            </w:pPr>
            <w:r/>
            <w:r>
              <w:rPr>
                <w:b w:val="0"/>
                <w:sz w:val="14"/>
              </w:rPr>
              <w:t>OP2.1 Number of separate, lockable girls latrine stances rehabilitated or newly functional</w:t>
            </w:r>
          </w:p>
        </w:tc>
        <w:tc>
          <w:tcPr>
            <w:tcW w:type="dxa" w:w="2556"/>
            <w:vAlign w:val="top"/>
          </w:tcPr>
          <w:p>
            <w:pPr>
              <w:spacing w:after="0" w:before="0"/>
            </w:pPr>
            <w:r/>
            <w:r>
              <w:rPr>
                <w:b w:val="0"/>
                <w:sz w:val="14"/>
              </w:rPr>
              <w:t>6</w:t>
            </w:r>
          </w:p>
        </w:tc>
        <w:tc>
          <w:tcPr>
            <w:tcW w:type="dxa" w:w="2556"/>
            <w:vAlign w:val="top"/>
          </w:tcPr>
          <w:p>
            <w:pPr>
              <w:spacing w:after="0" w:before="0"/>
            </w:pPr>
            <w:r/>
            <w:r>
              <w:rPr>
                <w:b w:val="0"/>
                <w:sz w:val="14"/>
              </w:rPr>
              <w:t>24</w:t>
            </w:r>
          </w:p>
        </w:tc>
        <w:tc>
          <w:tcPr>
            <w:tcW w:type="dxa" w:w="2556"/>
            <w:vAlign w:val="top"/>
          </w:tcPr>
          <w:p>
            <w:pPr>
              <w:spacing w:after="0" w:before="0"/>
            </w:pPr>
            <w:r/>
            <w:r>
              <w:rPr>
                <w:b w:val="0"/>
                <w:sz w:val="14"/>
              </w:rPr>
              <w:t>40</w:t>
            </w:r>
          </w:p>
        </w:tc>
      </w:tr>
      <w:tr>
        <w:tc>
          <w:tcPr>
            <w:tcW w:type="dxa" w:w="2556"/>
            <w:vAlign w:val="top"/>
          </w:tcPr>
          <w:p>
            <w:pPr>
              <w:spacing w:after="0" w:before="0"/>
            </w:pPr>
            <w:r/>
            <w:r>
              <w:rPr>
                <w:b w:val="0"/>
                <w:sz w:val="14"/>
              </w:rPr>
              <w:t>OP2.2 Number of schools with menstrual health supplies and trained focal teachers</w:t>
            </w:r>
          </w:p>
        </w:tc>
        <w:tc>
          <w:tcPr>
            <w:tcW w:type="dxa" w:w="2556"/>
            <w:vAlign w:val="top"/>
          </w:tcPr>
          <w:p>
            <w:pPr>
              <w:spacing w:after="0" w:before="0"/>
            </w:pPr>
            <w:r/>
            <w:r>
              <w:rPr>
                <w:b w:val="0"/>
                <w:sz w:val="14"/>
              </w:rPr>
              <w:t>0</w:t>
            </w:r>
          </w:p>
        </w:tc>
        <w:tc>
          <w:tcPr>
            <w:tcW w:type="dxa" w:w="2556"/>
            <w:vAlign w:val="top"/>
          </w:tcPr>
          <w:p>
            <w:pPr>
              <w:spacing w:after="0" w:before="0"/>
            </w:pPr>
            <w:r/>
            <w:r>
              <w:rPr>
                <w:b w:val="0"/>
                <w:sz w:val="14"/>
              </w:rPr>
              <w:t>20</w:t>
            </w:r>
          </w:p>
        </w:tc>
        <w:tc>
          <w:tcPr>
            <w:tcW w:type="dxa" w:w="2556"/>
            <w:vAlign w:val="top"/>
          </w:tcPr>
          <w:p>
            <w:pPr>
              <w:spacing w:after="0" w:before="0"/>
            </w:pPr>
            <w:r/>
            <w:r>
              <w:rPr>
                <w:b w:val="0"/>
                <w:sz w:val="14"/>
              </w:rPr>
              <w:t>40</w:t>
            </w:r>
          </w:p>
        </w:tc>
      </w:tr>
      <w:tr>
        <w:tc>
          <w:tcPr>
            <w:tcW w:type="dxa" w:w="2556"/>
            <w:vAlign w:val="top"/>
          </w:tcPr>
          <w:p>
            <w:pPr>
              <w:spacing w:after="0" w:before="0"/>
            </w:pPr>
            <w:r/>
            <w:r>
              <w:rPr>
                <w:b w:val="0"/>
                <w:sz w:val="14"/>
              </w:rPr>
              <w:t>OP2.3 Number of schools with active safeguarding referral pathway tested through termly case-review meeting</w:t>
            </w:r>
          </w:p>
        </w:tc>
        <w:tc>
          <w:tcPr>
            <w:tcW w:type="dxa" w:w="2556"/>
            <w:vAlign w:val="top"/>
          </w:tcPr>
          <w:p>
            <w:pPr>
              <w:spacing w:after="0" w:before="0"/>
            </w:pPr>
            <w:r/>
            <w:r>
              <w:rPr>
                <w:b w:val="0"/>
                <w:sz w:val="14"/>
              </w:rPr>
              <w:t>0</w:t>
            </w:r>
          </w:p>
        </w:tc>
        <w:tc>
          <w:tcPr>
            <w:tcW w:type="dxa" w:w="2556"/>
            <w:vAlign w:val="top"/>
          </w:tcPr>
          <w:p>
            <w:pPr>
              <w:spacing w:after="0" w:before="0"/>
            </w:pPr>
            <w:r/>
            <w:r>
              <w:rPr>
                <w:b w:val="0"/>
                <w:sz w:val="14"/>
              </w:rPr>
              <w:t>18</w:t>
            </w:r>
          </w:p>
        </w:tc>
        <w:tc>
          <w:tcPr>
            <w:tcW w:type="dxa" w:w="2556"/>
            <w:vAlign w:val="top"/>
          </w:tcPr>
          <w:p>
            <w:pPr>
              <w:spacing w:after="0" w:before="0"/>
            </w:pPr>
            <w:r/>
            <w:r>
              <w:rPr>
                <w:b w:val="0"/>
                <w:sz w:val="14"/>
              </w:rPr>
              <w:t>40</w:t>
            </w:r>
          </w:p>
        </w:tc>
      </w:tr>
    </w:tbl>
    <w:p/>
    <w:p>
      <w:pPr>
        <w:pStyle w:val="Heading2"/>
      </w:pPr>
      <w:r>
        <w:t>Output 3 - Households reduce immediate cost barriers to girls attendance</w:t>
      </w:r>
    </w:p>
    <w:p>
      <w:r>
        <w:t>Impact weighting: 25%; Risk rating: High</w:t>
      </w:r>
    </w:p>
    <w:p>
      <w:r>
        <w:t>The programme will provide time-limited education hardship grants and learning kits for girls from ultra-poor households.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top"/>
            <w:shd w:fill="D9EAF7"/>
          </w:tcPr>
          <w:p>
            <w:pPr>
              <w:spacing w:after="0" w:before="0"/>
            </w:pPr>
            <w:r/>
            <w:r>
              <w:rPr>
                <w:b/>
                <w:sz w:val="14"/>
              </w:rPr>
              <w:t>Indicator</w:t>
            </w:r>
          </w:p>
        </w:tc>
        <w:tc>
          <w:tcPr>
            <w:tcW w:type="dxa" w:w="2556"/>
            <w:vAlign w:val="top"/>
            <w:shd w:fill="D9EAF7"/>
          </w:tcPr>
          <w:p>
            <w:pPr>
              <w:spacing w:after="0" w:before="0"/>
            </w:pPr>
            <w:r/>
            <w:r>
              <w:rPr>
                <w:b/>
                <w:sz w:val="14"/>
              </w:rPr>
              <w:t>Baseline</w:t>
            </w:r>
          </w:p>
        </w:tc>
        <w:tc>
          <w:tcPr>
            <w:tcW w:type="dxa" w:w="2556"/>
            <w:vAlign w:val="top"/>
            <w:shd w:fill="D9EAF7"/>
          </w:tcPr>
          <w:p>
            <w:pPr>
              <w:spacing w:after="0" w:before="0"/>
            </w:pPr>
            <w:r/>
            <w:r>
              <w:rPr>
                <w:b/>
                <w:sz w:val="14"/>
              </w:rPr>
              <w:t>Year 1 milestone</w:t>
            </w:r>
          </w:p>
        </w:tc>
        <w:tc>
          <w:tcPr>
            <w:tcW w:type="dxa" w:w="2556"/>
            <w:vAlign w:val="top"/>
            <w:shd w:fill="D9EAF7"/>
          </w:tcPr>
          <w:p>
            <w:pPr>
              <w:spacing w:after="0" w:before="0"/>
            </w:pPr>
            <w:r/>
            <w:r>
              <w:rPr>
                <w:b/>
                <w:sz w:val="14"/>
              </w:rPr>
              <w:t>Endline target</w:t>
            </w:r>
          </w:p>
        </w:tc>
      </w:tr>
      <w:tr>
        <w:tc>
          <w:tcPr>
            <w:tcW w:type="dxa" w:w="2556"/>
            <w:vAlign w:val="top"/>
          </w:tcPr>
          <w:p>
            <w:pPr>
              <w:spacing w:after="0" w:before="0"/>
            </w:pPr>
            <w:r/>
            <w:r>
              <w:rPr>
                <w:b w:val="0"/>
                <w:sz w:val="14"/>
              </w:rPr>
              <w:t>OP3.1 Number of caregivers receiving education hardship grant linked to girls attendance plan</w:t>
            </w:r>
          </w:p>
        </w:tc>
        <w:tc>
          <w:tcPr>
            <w:tcW w:type="dxa" w:w="2556"/>
            <w:vAlign w:val="top"/>
          </w:tcPr>
          <w:p>
            <w:pPr>
              <w:spacing w:after="0" w:before="0"/>
            </w:pPr>
            <w:r/>
            <w:r>
              <w:rPr>
                <w:b w:val="0"/>
                <w:sz w:val="14"/>
              </w:rPr>
              <w:t>0</w:t>
            </w:r>
          </w:p>
        </w:tc>
        <w:tc>
          <w:tcPr>
            <w:tcW w:type="dxa" w:w="2556"/>
            <w:vAlign w:val="top"/>
          </w:tcPr>
          <w:p>
            <w:pPr>
              <w:spacing w:after="0" w:before="0"/>
            </w:pPr>
            <w:r/>
            <w:r>
              <w:rPr>
                <w:b w:val="0"/>
                <w:sz w:val="14"/>
              </w:rPr>
              <w:t>400</w:t>
            </w:r>
          </w:p>
        </w:tc>
        <w:tc>
          <w:tcPr>
            <w:tcW w:type="dxa" w:w="2556"/>
            <w:vAlign w:val="top"/>
          </w:tcPr>
          <w:p>
            <w:pPr>
              <w:spacing w:after="0" w:before="0"/>
            </w:pPr>
            <w:r/>
            <w:r>
              <w:rPr>
                <w:b w:val="0"/>
                <w:sz w:val="14"/>
              </w:rPr>
              <w:t>800</w:t>
            </w:r>
          </w:p>
        </w:tc>
      </w:tr>
      <w:tr>
        <w:tc>
          <w:tcPr>
            <w:tcW w:type="dxa" w:w="2556"/>
            <w:vAlign w:val="top"/>
          </w:tcPr>
          <w:p>
            <w:pPr>
              <w:spacing w:after="0" w:before="0"/>
            </w:pPr>
            <w:r/>
            <w:r>
              <w:rPr>
                <w:b w:val="0"/>
                <w:sz w:val="14"/>
              </w:rPr>
              <w:t>OP3.2 Number of girls receiving school re-entry kit or learning materials package</w:t>
            </w:r>
          </w:p>
        </w:tc>
        <w:tc>
          <w:tcPr>
            <w:tcW w:type="dxa" w:w="2556"/>
            <w:vAlign w:val="top"/>
          </w:tcPr>
          <w:p>
            <w:pPr>
              <w:spacing w:after="0" w:before="0"/>
            </w:pPr>
            <w:r/>
            <w:r>
              <w:rPr>
                <w:b w:val="0"/>
                <w:sz w:val="14"/>
              </w:rPr>
              <w:t>0</w:t>
            </w:r>
          </w:p>
        </w:tc>
        <w:tc>
          <w:tcPr>
            <w:tcW w:type="dxa" w:w="2556"/>
            <w:vAlign w:val="top"/>
          </w:tcPr>
          <w:p>
            <w:pPr>
              <w:spacing w:after="0" w:before="0"/>
            </w:pPr>
            <w:r/>
            <w:r>
              <w:rPr>
                <w:b w:val="0"/>
                <w:sz w:val="14"/>
              </w:rPr>
              <w:t>550</w:t>
            </w:r>
          </w:p>
        </w:tc>
        <w:tc>
          <w:tcPr>
            <w:tcW w:type="dxa" w:w="2556"/>
            <w:vAlign w:val="top"/>
          </w:tcPr>
          <w:p>
            <w:pPr>
              <w:spacing w:after="0" w:before="0"/>
            </w:pPr>
            <w:r/>
            <w:r>
              <w:rPr>
                <w:b w:val="0"/>
                <w:sz w:val="14"/>
              </w:rPr>
              <w:t>1,100</w:t>
            </w:r>
          </w:p>
        </w:tc>
      </w:tr>
      <w:tr>
        <w:tc>
          <w:tcPr>
            <w:tcW w:type="dxa" w:w="2556"/>
            <w:vAlign w:val="top"/>
          </w:tcPr>
          <w:p>
            <w:pPr>
              <w:spacing w:after="0" w:before="0"/>
            </w:pPr>
            <w:r/>
            <w:r>
              <w:rPr>
                <w:b w:val="0"/>
                <w:sz w:val="14"/>
              </w:rPr>
              <w:t>OP3.3 % of hardship grant households with verified attendance follow-up within 45 days</w:t>
            </w:r>
          </w:p>
        </w:tc>
        <w:tc>
          <w:tcPr>
            <w:tcW w:type="dxa" w:w="2556"/>
            <w:vAlign w:val="top"/>
          </w:tcPr>
          <w:p>
            <w:pPr>
              <w:spacing w:after="0" w:before="0"/>
            </w:pPr>
            <w:r/>
            <w:r>
              <w:rPr>
                <w:b w:val="0"/>
                <w:sz w:val="14"/>
              </w:rPr>
              <w:t>0%</w:t>
            </w:r>
          </w:p>
        </w:tc>
        <w:tc>
          <w:tcPr>
            <w:tcW w:type="dxa" w:w="2556"/>
            <w:vAlign w:val="top"/>
          </w:tcPr>
          <w:p>
            <w:pPr>
              <w:spacing w:after="0" w:before="0"/>
            </w:pPr>
            <w:r/>
            <w:r>
              <w:rPr>
                <w:b w:val="0"/>
                <w:sz w:val="14"/>
              </w:rPr>
              <w:t>75%</w:t>
            </w:r>
          </w:p>
        </w:tc>
        <w:tc>
          <w:tcPr>
            <w:tcW w:type="dxa" w:w="2556"/>
            <w:vAlign w:val="top"/>
          </w:tcPr>
          <w:p>
            <w:pPr>
              <w:spacing w:after="0" w:before="0"/>
            </w:pPr>
            <w:r/>
            <w:r>
              <w:rPr>
                <w:b w:val="0"/>
                <w:sz w:val="14"/>
              </w:rPr>
              <w:t>85%</w:t>
            </w:r>
          </w:p>
        </w:tc>
      </w:tr>
    </w:tbl>
    <w:p/>
    <w:p>
      <w:pPr>
        <w:pStyle w:val="Heading2"/>
      </w:pPr>
      <w:r>
        <w:t>Output 4 - District education actors use evidence to improve girls re-entry practice</w:t>
      </w:r>
    </w:p>
    <w:p>
      <w:r>
        <w:t>Impact weighting: 15%; Risk rating: Low</w:t>
      </w:r>
    </w:p>
    <w:p>
      <w:r>
        <w:t>BridgeLight will convene quarterly district learning meetings and produce learning briefs on re-entry, menstrual health barriers and cash support design.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top"/>
            <w:shd w:fill="D9EAF7"/>
          </w:tcPr>
          <w:p>
            <w:pPr>
              <w:spacing w:after="0" w:before="0"/>
            </w:pPr>
            <w:r/>
            <w:r>
              <w:rPr>
                <w:b/>
                <w:sz w:val="14"/>
              </w:rPr>
              <w:t>Indicator</w:t>
            </w:r>
          </w:p>
        </w:tc>
        <w:tc>
          <w:tcPr>
            <w:tcW w:type="dxa" w:w="2556"/>
            <w:vAlign w:val="top"/>
            <w:shd w:fill="D9EAF7"/>
          </w:tcPr>
          <w:p>
            <w:pPr>
              <w:spacing w:after="0" w:before="0"/>
            </w:pPr>
            <w:r/>
            <w:r>
              <w:rPr>
                <w:b/>
                <w:sz w:val="14"/>
              </w:rPr>
              <w:t>Baseline</w:t>
            </w:r>
          </w:p>
        </w:tc>
        <w:tc>
          <w:tcPr>
            <w:tcW w:type="dxa" w:w="2556"/>
            <w:vAlign w:val="top"/>
            <w:shd w:fill="D9EAF7"/>
          </w:tcPr>
          <w:p>
            <w:pPr>
              <w:spacing w:after="0" w:before="0"/>
            </w:pPr>
            <w:r/>
            <w:r>
              <w:rPr>
                <w:b/>
                <w:sz w:val="14"/>
              </w:rPr>
              <w:t>Year 1 milestone</w:t>
            </w:r>
          </w:p>
        </w:tc>
        <w:tc>
          <w:tcPr>
            <w:tcW w:type="dxa" w:w="2556"/>
            <w:vAlign w:val="top"/>
            <w:shd w:fill="D9EAF7"/>
          </w:tcPr>
          <w:p>
            <w:pPr>
              <w:spacing w:after="0" w:before="0"/>
            </w:pPr>
            <w:r/>
            <w:r>
              <w:rPr>
                <w:b/>
                <w:sz w:val="14"/>
              </w:rPr>
              <w:t>Endline target</w:t>
            </w:r>
          </w:p>
        </w:tc>
      </w:tr>
      <w:tr>
        <w:tc>
          <w:tcPr>
            <w:tcW w:type="dxa" w:w="2556"/>
            <w:vAlign w:val="top"/>
          </w:tcPr>
          <w:p>
            <w:pPr>
              <w:spacing w:after="0" w:before="0"/>
            </w:pPr>
            <w:r/>
            <w:r>
              <w:rPr>
                <w:b w:val="0"/>
                <w:sz w:val="14"/>
              </w:rPr>
              <w:t>OP4.1 Number of district learning meetings held with documented action points</w:t>
            </w:r>
          </w:p>
        </w:tc>
        <w:tc>
          <w:tcPr>
            <w:tcW w:type="dxa" w:w="2556"/>
            <w:vAlign w:val="top"/>
          </w:tcPr>
          <w:p>
            <w:pPr>
              <w:spacing w:after="0" w:before="0"/>
            </w:pPr>
            <w:r/>
            <w:r>
              <w:rPr>
                <w:b w:val="0"/>
                <w:sz w:val="14"/>
              </w:rPr>
              <w:t>0</w:t>
            </w:r>
          </w:p>
        </w:tc>
        <w:tc>
          <w:tcPr>
            <w:tcW w:type="dxa" w:w="2556"/>
            <w:vAlign w:val="top"/>
          </w:tcPr>
          <w:p>
            <w:pPr>
              <w:spacing w:after="0" w:before="0"/>
            </w:pPr>
            <w:r/>
            <w:r>
              <w:rPr>
                <w:b w:val="0"/>
                <w:sz w:val="14"/>
              </w:rPr>
              <w:t>4</w:t>
            </w:r>
          </w:p>
        </w:tc>
        <w:tc>
          <w:tcPr>
            <w:tcW w:type="dxa" w:w="2556"/>
            <w:vAlign w:val="top"/>
          </w:tcPr>
          <w:p>
            <w:pPr>
              <w:spacing w:after="0" w:before="0"/>
            </w:pPr>
            <w:r/>
            <w:r>
              <w:rPr>
                <w:b w:val="0"/>
                <w:sz w:val="14"/>
              </w:rPr>
              <w:t>8</w:t>
            </w:r>
          </w:p>
        </w:tc>
      </w:tr>
      <w:tr>
        <w:tc>
          <w:tcPr>
            <w:tcW w:type="dxa" w:w="2556"/>
            <w:vAlign w:val="top"/>
          </w:tcPr>
          <w:p>
            <w:pPr>
              <w:spacing w:after="0" w:before="0"/>
            </w:pPr>
            <w:r/>
            <w:r>
              <w:rPr>
                <w:b w:val="0"/>
                <w:sz w:val="14"/>
              </w:rPr>
              <w:t>OP4.2 Number of learning briefs produced and shared with district education stakeholders</w:t>
            </w:r>
          </w:p>
        </w:tc>
        <w:tc>
          <w:tcPr>
            <w:tcW w:type="dxa" w:w="2556"/>
            <w:vAlign w:val="top"/>
          </w:tcPr>
          <w:p>
            <w:pPr>
              <w:spacing w:after="0" w:before="0"/>
            </w:pPr>
            <w:r/>
            <w:r>
              <w:rPr>
                <w:b w:val="0"/>
                <w:sz w:val="14"/>
              </w:rPr>
              <w:t>0</w:t>
            </w:r>
          </w:p>
        </w:tc>
        <w:tc>
          <w:tcPr>
            <w:tcW w:type="dxa" w:w="2556"/>
            <w:vAlign w:val="top"/>
          </w:tcPr>
          <w:p>
            <w:pPr>
              <w:spacing w:after="0" w:before="0"/>
            </w:pPr>
            <w:r/>
            <w:r>
              <w:rPr>
                <w:b w:val="0"/>
                <w:sz w:val="14"/>
              </w:rPr>
              <w:t>2</w:t>
            </w:r>
          </w:p>
        </w:tc>
        <w:tc>
          <w:tcPr>
            <w:tcW w:type="dxa" w:w="2556"/>
            <w:vAlign w:val="top"/>
          </w:tcPr>
          <w:p>
            <w:pPr>
              <w:spacing w:after="0" w:before="0"/>
            </w:pPr>
            <w:r/>
            <w:r>
              <w:rPr>
                <w:b w:val="0"/>
                <w:sz w:val="14"/>
              </w:rPr>
              <w:t>5</w:t>
            </w:r>
          </w:p>
        </w:tc>
      </w:tr>
      <w:tr>
        <w:tc>
          <w:tcPr>
            <w:tcW w:type="dxa" w:w="2556"/>
            <w:vAlign w:val="top"/>
          </w:tcPr>
          <w:p>
            <w:pPr>
              <w:spacing w:after="0" w:before="0"/>
            </w:pPr>
            <w:r/>
            <w:r>
              <w:rPr>
                <w:b w:val="0"/>
                <w:sz w:val="14"/>
              </w:rPr>
              <w:t>OP4.3 Number of school/community actors trained on girls re-entry and safeguarding protocols</w:t>
            </w:r>
          </w:p>
        </w:tc>
        <w:tc>
          <w:tcPr>
            <w:tcW w:type="dxa" w:w="2556"/>
            <w:vAlign w:val="top"/>
          </w:tcPr>
          <w:p>
            <w:pPr>
              <w:spacing w:after="0" w:before="0"/>
            </w:pPr>
            <w:r/>
            <w:r>
              <w:rPr>
                <w:b w:val="0"/>
                <w:sz w:val="14"/>
              </w:rPr>
              <w:t>0</w:t>
            </w:r>
          </w:p>
        </w:tc>
        <w:tc>
          <w:tcPr>
            <w:tcW w:type="dxa" w:w="2556"/>
            <w:vAlign w:val="top"/>
          </w:tcPr>
          <w:p>
            <w:pPr>
              <w:spacing w:after="0" w:before="0"/>
            </w:pPr>
            <w:r/>
            <w:r>
              <w:rPr>
                <w:b w:val="0"/>
                <w:sz w:val="14"/>
              </w:rPr>
              <w:t>120</w:t>
            </w:r>
          </w:p>
        </w:tc>
        <w:tc>
          <w:tcPr>
            <w:tcW w:type="dxa" w:w="2556"/>
            <w:vAlign w:val="top"/>
          </w:tcPr>
          <w:p>
            <w:pPr>
              <w:spacing w:after="0" w:before="0"/>
            </w:pPr>
            <w:r/>
            <w:r>
              <w:rPr>
                <w:b w:val="0"/>
                <w:sz w:val="14"/>
              </w:rPr>
              <w:t>240</w:t>
            </w:r>
          </w:p>
        </w:tc>
      </w:tr>
    </w:tbl>
    <w:p/>
    <w:p>
      <w:pPr>
        <w:pStyle w:val="Heading1"/>
      </w:pPr>
      <w:r>
        <w:t>6. Activities</w:t>
      </w:r>
    </w:p>
    <w:p>
      <w:pPr>
        <w:pStyle w:val="ListNumber"/>
      </w:pPr>
      <w:r>
        <w:t>School and community identification of out-of-school girls and girls at risk of dropout.</w:t>
      </w:r>
    </w:p>
    <w:p>
      <w:pPr>
        <w:pStyle w:val="ListNumber"/>
      </w:pPr>
      <w:r>
        <w:t>Re-entry counselling and family engagement through mother groups and school committees.</w:t>
      </w:r>
    </w:p>
    <w:p>
      <w:pPr>
        <w:pStyle w:val="ListNumber"/>
      </w:pPr>
      <w:r>
        <w:t>Bridge learning and remedial sessions delivered by trained teachers after school hours.</w:t>
      </w:r>
    </w:p>
    <w:p>
      <w:pPr>
        <w:pStyle w:val="ListNumber"/>
      </w:pPr>
      <w:r>
        <w:t>Rehabilitation of girls latrines, with lockable doors, handwashing points and menstrual disposal where feasible.</w:t>
      </w:r>
    </w:p>
    <w:p>
      <w:pPr>
        <w:pStyle w:val="ListNumber"/>
      </w:pPr>
      <w:r>
        <w:t>Menstrual health supply distribution through trained focal teachers.</w:t>
      </w:r>
    </w:p>
    <w:p>
      <w:pPr>
        <w:pStyle w:val="ListNumber"/>
      </w:pPr>
      <w:r>
        <w:t>Hardship grants and school re-entry kits for girls facing direct cost barriers.</w:t>
      </w:r>
    </w:p>
    <w:p>
      <w:pPr>
        <w:pStyle w:val="ListNumber"/>
      </w:pPr>
      <w:r>
        <w:t>Safeguarding referral mapping with district social welfare officers and headteachers.</w:t>
      </w:r>
    </w:p>
    <w:p>
      <w:pPr>
        <w:pStyle w:val="ListNumber"/>
      </w:pPr>
      <w:r>
        <w:t>Quarterly district learning meetings and short evidence briefs.</w:t>
      </w:r>
    </w:p>
    <w:p>
      <w:r>
        <w:t>The project will start in October 2024 and run until September 2026. The first reporting year is expected to cover October 2024 to September 2025, although the exact Annual Review cut-off may be confirmed by FCDO after contracting.</w:t>
      </w:r>
    </w:p>
    <w:p>
      <w:pPr>
        <w:pStyle w:val="Heading1"/>
      </w:pPr>
      <w:r>
        <w:t>7. Monitoring, evaluation and learning</w:t>
      </w:r>
    </w:p>
    <w:p>
      <w:r>
        <w:t>BridgeLight will use a logframe-based monitoring system. Data sources will include school attendance registers, re-entry club records, caregiver payment lists, WASH completion certificates, meeting attendance sheets, case referral logs and quarterly survey tools.</w:t>
      </w:r>
    </w:p>
    <w:p>
      <w:r>
        <w:t>Monitoring data will be disaggregated by gender, age band and vulnerability category where the indicator relates to individual beneficiaries. For girls, the core age bands will be 6-11, 12-17 and 18-24. Vulnerability categories include disability, ultra-poor household, married/previously married adolescent, orphaned or separated child, and high dropout-risk household.</w:t>
      </w:r>
    </w:p>
    <w:p>
      <w:r>
        <w:t>Output scoring will use the FCDO five-point system at Annual Review. BridgeLight’s MEL Manager will propose initial scores, but final scores should be agreed with the FCDO review team.</w:t>
      </w:r>
    </w:p>
    <w:p>
      <w:pPr>
        <w:pStyle w:val="Heading1"/>
      </w:pPr>
      <w:r>
        <w:t>8. Value for Money</w:t>
      </w:r>
    </w:p>
    <w:p>
      <w:r>
        <w:t>BridgeLight expects the main cost drivers to be school rehabilitation works, hardship grants, district field transport and local partner facilitation. The business case assumes a cost per directly supported girl of approximately £987 over two years, using the £1.184m proposal budget and 1,200 girls.</w:t>
      </w:r>
    </w:p>
    <w:p>
      <w:r>
        <w:t>Economy will be managed through local procurement for rehabilitation works and competitive pricing for learning kits. Efficiency will be monitored through cost per girl re-enrolled, cost per school with completed WASH works, and staff cost as a share of total programme spend. Effectiveness will be reviewed through attendance, re-entry and progression results. Equity will be assessed through the share of support reaching girls with disabilities, girls from ultra-poor households and girls previously out of school.</w:t>
      </w:r>
    </w:p>
    <w:p>
      <w:pPr>
        <w:pStyle w:val="Heading1"/>
      </w:pPr>
      <w:r>
        <w:t>9. Risk and safeguarding</w:t>
      </w:r>
    </w:p>
    <w:p>
      <w:r>
        <w:t>Main risks include school calendar disruption, inflation in construction materials, local political pressure in beneficiary selection, low mobile-money coverage, and safeguarding risks associated with identifying girls affected by early marriage or abuse. BridgeLight will apply child safeguarding procedures, staff code of conduct, community complaints mechanisms and referral pathways through district social welfare offices.</w:t>
      </w:r>
    </w:p>
    <w:p>
      <w:pPr>
        <w:pStyle w:val="Heading1"/>
      </w:pPr>
      <w:r>
        <w:t>10. Budget summary</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top"/>
            <w:shd w:fill="D9EAF7"/>
          </w:tcPr>
          <w:p>
            <w:pPr>
              <w:spacing w:after="0" w:before="0"/>
            </w:pPr>
            <w:r/>
            <w:r>
              <w:rPr>
                <w:b/>
                <w:sz w:val="16"/>
              </w:rPr>
              <w:t>Budget line</w:t>
            </w:r>
          </w:p>
        </w:tc>
        <w:tc>
          <w:tcPr>
            <w:tcW w:type="dxa" w:w="5112"/>
            <w:vAlign w:val="top"/>
            <w:shd w:fill="D9EAF7"/>
          </w:tcPr>
          <w:p>
            <w:pPr>
              <w:spacing w:after="0" w:before="0"/>
            </w:pPr>
            <w:r/>
            <w:r>
              <w:rPr>
                <w:b/>
                <w:sz w:val="16"/>
              </w:rPr>
              <w:t>Two-year proposal budget</w:t>
            </w:r>
          </w:p>
        </w:tc>
      </w:tr>
      <w:tr>
        <w:tc>
          <w:tcPr>
            <w:tcW w:type="dxa" w:w="5112"/>
            <w:vAlign w:val="top"/>
          </w:tcPr>
          <w:p>
            <w:pPr>
              <w:spacing w:after="0" w:before="0"/>
            </w:pPr>
            <w:r/>
            <w:r>
              <w:rPr>
                <w:b w:val="0"/>
                <w:sz w:val="16"/>
              </w:rPr>
              <w:t>Staff and technical assistance</w:t>
            </w:r>
          </w:p>
        </w:tc>
        <w:tc>
          <w:tcPr>
            <w:tcW w:type="dxa" w:w="5112"/>
            <w:vAlign w:val="top"/>
          </w:tcPr>
          <w:p>
            <w:pPr>
              <w:spacing w:after="0" w:before="0"/>
            </w:pPr>
            <w:r/>
            <w:r>
              <w:rPr>
                <w:b w:val="0"/>
                <w:sz w:val="16"/>
              </w:rPr>
              <w:t>£338,000</w:t>
            </w:r>
          </w:p>
        </w:tc>
      </w:tr>
      <w:tr>
        <w:tc>
          <w:tcPr>
            <w:tcW w:type="dxa" w:w="5112"/>
            <w:vAlign w:val="top"/>
          </w:tcPr>
          <w:p>
            <w:pPr>
              <w:spacing w:after="0" w:before="0"/>
            </w:pPr>
            <w:r/>
            <w:r>
              <w:rPr>
                <w:b w:val="0"/>
                <w:sz w:val="16"/>
              </w:rPr>
              <w:t>Local partner delivery</w:t>
            </w:r>
          </w:p>
        </w:tc>
        <w:tc>
          <w:tcPr>
            <w:tcW w:type="dxa" w:w="5112"/>
            <w:vAlign w:val="top"/>
          </w:tcPr>
          <w:p>
            <w:pPr>
              <w:spacing w:after="0" w:before="0"/>
            </w:pPr>
            <w:r/>
            <w:r>
              <w:rPr>
                <w:b w:val="0"/>
                <w:sz w:val="16"/>
              </w:rPr>
              <w:t>£214,000</w:t>
            </w:r>
          </w:p>
        </w:tc>
      </w:tr>
      <w:tr>
        <w:tc>
          <w:tcPr>
            <w:tcW w:type="dxa" w:w="5112"/>
            <w:vAlign w:val="top"/>
          </w:tcPr>
          <w:p>
            <w:pPr>
              <w:spacing w:after="0" w:before="0"/>
            </w:pPr>
            <w:r/>
            <w:r>
              <w:rPr>
                <w:b w:val="0"/>
                <w:sz w:val="16"/>
              </w:rPr>
              <w:t>School WASH rehabilitation</w:t>
            </w:r>
          </w:p>
        </w:tc>
        <w:tc>
          <w:tcPr>
            <w:tcW w:type="dxa" w:w="5112"/>
            <w:vAlign w:val="top"/>
          </w:tcPr>
          <w:p>
            <w:pPr>
              <w:spacing w:after="0" w:before="0"/>
            </w:pPr>
            <w:r/>
            <w:r>
              <w:rPr>
                <w:b w:val="0"/>
                <w:sz w:val="16"/>
              </w:rPr>
              <w:t>£226,000</w:t>
            </w:r>
          </w:p>
        </w:tc>
      </w:tr>
      <w:tr>
        <w:tc>
          <w:tcPr>
            <w:tcW w:type="dxa" w:w="5112"/>
            <w:vAlign w:val="top"/>
          </w:tcPr>
          <w:p>
            <w:pPr>
              <w:spacing w:after="0" w:before="0"/>
            </w:pPr>
            <w:r/>
            <w:r>
              <w:rPr>
                <w:b w:val="0"/>
                <w:sz w:val="16"/>
              </w:rPr>
              <w:t>Hardship grants and learning kits</w:t>
            </w:r>
          </w:p>
        </w:tc>
        <w:tc>
          <w:tcPr>
            <w:tcW w:type="dxa" w:w="5112"/>
            <w:vAlign w:val="top"/>
          </w:tcPr>
          <w:p>
            <w:pPr>
              <w:spacing w:after="0" w:before="0"/>
            </w:pPr>
            <w:r/>
            <w:r>
              <w:rPr>
                <w:b w:val="0"/>
                <w:sz w:val="16"/>
              </w:rPr>
              <w:t>£238,000</w:t>
            </w:r>
          </w:p>
        </w:tc>
      </w:tr>
      <w:tr>
        <w:tc>
          <w:tcPr>
            <w:tcW w:type="dxa" w:w="5112"/>
            <w:vAlign w:val="top"/>
          </w:tcPr>
          <w:p>
            <w:pPr>
              <w:spacing w:after="0" w:before="0"/>
            </w:pPr>
            <w:r/>
            <w:r>
              <w:rPr>
                <w:b w:val="0"/>
                <w:sz w:val="16"/>
              </w:rPr>
              <w:t>Monitoring, evaluation and learning</w:t>
            </w:r>
          </w:p>
        </w:tc>
        <w:tc>
          <w:tcPr>
            <w:tcW w:type="dxa" w:w="5112"/>
            <w:vAlign w:val="top"/>
          </w:tcPr>
          <w:p>
            <w:pPr>
              <w:spacing w:after="0" w:before="0"/>
            </w:pPr>
            <w:r/>
            <w:r>
              <w:rPr>
                <w:b w:val="0"/>
                <w:sz w:val="16"/>
              </w:rPr>
              <w:t>£82,000</w:t>
            </w:r>
          </w:p>
        </w:tc>
      </w:tr>
      <w:tr>
        <w:tc>
          <w:tcPr>
            <w:tcW w:type="dxa" w:w="5112"/>
            <w:vAlign w:val="top"/>
          </w:tcPr>
          <w:p>
            <w:pPr>
              <w:spacing w:after="0" w:before="0"/>
            </w:pPr>
            <w:r/>
            <w:r>
              <w:rPr>
                <w:b w:val="0"/>
                <w:sz w:val="16"/>
              </w:rPr>
              <w:t>Operations, travel and audit</w:t>
            </w:r>
          </w:p>
        </w:tc>
        <w:tc>
          <w:tcPr>
            <w:tcW w:type="dxa" w:w="5112"/>
            <w:vAlign w:val="top"/>
          </w:tcPr>
          <w:p>
            <w:pPr>
              <w:spacing w:after="0" w:before="0"/>
            </w:pPr>
            <w:r/>
            <w:r>
              <w:rPr>
                <w:b w:val="0"/>
                <w:sz w:val="16"/>
              </w:rPr>
              <w:t>£86,000</w:t>
            </w:r>
          </w:p>
        </w:tc>
      </w:tr>
      <w:tr>
        <w:tc>
          <w:tcPr>
            <w:tcW w:type="dxa" w:w="5112"/>
            <w:vAlign w:val="top"/>
          </w:tcPr>
          <w:p>
            <w:pPr>
              <w:spacing w:after="0" w:before="0"/>
            </w:pPr>
            <w:r/>
            <w:r>
              <w:rPr>
                <w:b w:val="0"/>
                <w:sz w:val="16"/>
              </w:rPr>
              <w:t>Total</w:t>
            </w:r>
          </w:p>
        </w:tc>
        <w:tc>
          <w:tcPr>
            <w:tcW w:type="dxa" w:w="5112"/>
            <w:vAlign w:val="top"/>
          </w:tcPr>
          <w:p>
            <w:pPr>
              <w:spacing w:after="0" w:before="0"/>
            </w:pPr>
            <w:r/>
            <w:r>
              <w:rPr>
                <w:b w:val="0"/>
                <w:sz w:val="16"/>
              </w:rPr>
              <w:t>£1,184,000</w:t>
            </w:r>
          </w:p>
        </w:tc>
      </w:tr>
    </w:tbl>
    <w:p/>
    <w:p>
      <w:r>
        <w:t>The budget table above is from the proposal workbook, tab Budget_Final_v5. The later costing note from the contracting discussion refers to “1.240m envelope incl. contingency”, but this has not been updated here.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01_FCDO_BridgeLight_Winning_Proposal</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