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Foreign, Commonwealth &amp; Development Office</w:t>
      </w:r>
    </w:p>
    <w:p>
      <w:pPr>
        <w:jc w:val="center"/>
      </w:pPr>
      <w:r>
        <w:rPr>
          <w:i/>
          <w:sz w:val="20"/>
        </w:rPr>
        <w:t>Award Letter - BridgeLight Girls Return to Learning and Safety Programme</w:t>
      </w:r>
    </w:p>
    <w:p/>
    <w:tbl>
      <w:tblPr>
        <w:tblStyle w:val="TableGrid"/>
        <w:tblW w:type="auto" w:w="0"/>
        <w:jc w:val="center"/>
        <w:tblLook w:firstColumn="1" w:firstRow="1" w:lastColumn="0" w:lastRow="0" w:noHBand="0" w:noVBand="1" w:val="04A0"/>
      </w:tblPr>
      <w:tblGrid>
        <w:gridCol w:w="5112"/>
        <w:gridCol w:w="5112"/>
      </w:tblGrid>
      <w:tr>
        <w:tc>
          <w:tcPr>
            <w:tcW w:type="dxa" w:w="5112"/>
            <w:vAlign w:val="top"/>
          </w:tcPr>
          <w:p>
            <w:pPr>
              <w:spacing w:after="0" w:before="0"/>
            </w:pPr>
            <w:r/>
            <w:r>
              <w:rPr>
                <w:b/>
                <w:sz w:val="18"/>
              </w:rPr>
              <w:t>File name</w:t>
            </w:r>
          </w:p>
        </w:tc>
        <w:tc>
          <w:tcPr>
            <w:tcW w:type="dxa" w:w="5112"/>
            <w:vAlign w:val="top"/>
          </w:tcPr>
          <w:p>
            <w:pPr>
              <w:spacing w:after="0" w:before="0"/>
            </w:pPr>
            <w:r/>
            <w:r>
              <w:rPr>
                <w:b w:val="0"/>
                <w:sz w:val="18"/>
              </w:rPr>
              <w:t>FCDO_Award_Letter_BridgeLight_Malawi_GirlsEducation_signed_scan.pdf</w:t>
            </w:r>
          </w:p>
        </w:tc>
      </w:tr>
      <w:tr>
        <w:tc>
          <w:tcPr>
            <w:tcW w:type="dxa" w:w="5112"/>
            <w:vAlign w:val="top"/>
          </w:tcPr>
          <w:p>
            <w:pPr>
              <w:spacing w:after="0" w:before="0"/>
            </w:pPr>
            <w:r/>
            <w:r>
              <w:rPr>
                <w:b/>
                <w:sz w:val="18"/>
              </w:rPr>
              <w:t>Programme code</w:t>
            </w:r>
          </w:p>
        </w:tc>
        <w:tc>
          <w:tcPr>
            <w:tcW w:type="dxa" w:w="5112"/>
            <w:vAlign w:val="top"/>
          </w:tcPr>
          <w:p>
            <w:pPr>
              <w:spacing w:after="0" w:before="0"/>
            </w:pPr>
            <w:r/>
            <w:r>
              <w:rPr>
                <w:b w:val="0"/>
                <w:sz w:val="18"/>
              </w:rPr>
              <w:t>MWI-EDU-AR-4471</w:t>
            </w:r>
          </w:p>
        </w:tc>
      </w:tr>
      <w:tr>
        <w:tc>
          <w:tcPr>
            <w:tcW w:type="dxa" w:w="5112"/>
            <w:vAlign w:val="top"/>
          </w:tcPr>
          <w:p>
            <w:pPr>
              <w:spacing w:after="0" w:before="0"/>
            </w:pPr>
            <w:r/>
            <w:r>
              <w:rPr>
                <w:b/>
                <w:sz w:val="18"/>
              </w:rPr>
              <w:t>Letter date</w:t>
            </w:r>
          </w:p>
        </w:tc>
        <w:tc>
          <w:tcPr>
            <w:tcW w:type="dxa" w:w="5112"/>
            <w:vAlign w:val="top"/>
          </w:tcPr>
          <w:p>
            <w:pPr>
              <w:spacing w:after="0" w:before="0"/>
            </w:pPr>
            <w:r/>
            <w:r>
              <w:rPr>
                <w:b w:val="0"/>
                <w:sz w:val="18"/>
              </w:rPr>
              <w:t>27 September 2024</w:t>
            </w:r>
          </w:p>
        </w:tc>
      </w:tr>
      <w:tr>
        <w:tc>
          <w:tcPr>
            <w:tcW w:type="dxa" w:w="5112"/>
            <w:vAlign w:val="top"/>
          </w:tcPr>
          <w:p>
            <w:pPr>
              <w:spacing w:after="0" w:before="0"/>
            </w:pPr>
            <w:r/>
            <w:r>
              <w:rPr>
                <w:b/>
                <w:sz w:val="18"/>
              </w:rPr>
              <w:t>Addressed to</w:t>
            </w:r>
          </w:p>
        </w:tc>
        <w:tc>
          <w:tcPr>
            <w:tcW w:type="dxa" w:w="5112"/>
            <w:vAlign w:val="top"/>
          </w:tcPr>
          <w:p>
            <w:pPr>
              <w:spacing w:after="0" w:before="0"/>
            </w:pPr>
            <w:r/>
            <w:r>
              <w:rPr>
                <w:b w:val="0"/>
                <w:sz w:val="18"/>
              </w:rPr>
              <w:t>Chief Executive, BridgeLight Education Trust</w:t>
            </w:r>
          </w:p>
        </w:tc>
      </w:tr>
    </w:tbl>
    <w:p/>
    <w:p>
      <w:r>
        <w:t>Dear Dr Patel,</w:t>
      </w:r>
    </w:p>
    <w:p>
      <w:r>
        <w:t>We are pleased to confirm that the Foreign, Commonwealth &amp; Development Office has approved funding to BridgeLight Education Trust for implementation of the Girls Return to Learning and Safety Programme in Machinga and Mangochi districts, Malawi.</w:t>
      </w:r>
    </w:p>
    <w:p>
      <w:r>
        <w:t>The approved FCDO contribution is GBP 1,240,000 for the full implementation period. This amount is inclusive of programme delivery costs, agreed management costs, monitoring and reporting, and a small contingency allocation agreed during clarification. Payments will be made against the approved payment schedule and subject to satisfactory reporting, financial control and continued compliance with FCDO terms.</w:t>
      </w:r>
    </w:p>
    <w:p>
      <w:r>
        <w:t>The programme start date is 15 October 2024 and the programme end date is 14 October 2026. The inception period runs from 15 October 2024 to 31 December 2024. The first full implementation year will be assessed in the Annual Review.</w:t>
      </w:r>
    </w:p>
    <w:p>
      <w:r>
        <w:t>BridgeLight is required to maintain a logframe or equivalent results framework showing outputs, indicators, baselines, milestones, targets and achieved results. Monitoring data must be disaggregated where relevant by gender, age and vulnerability group. The Annual Review will assess the Outcome and score each Output using the five-point output scoring system. BridgeLight must provide evidence for each numeric claim included in the review.</w:t>
      </w:r>
    </w:p>
    <w:p>
      <w:r>
        <w:t>The first Annual Review will cover the period 15 October 2024 to 14 October 2025. The review pack is due to FCDO by 21 November 2025. Please note that the project team discussed “October to September” in the inception call, but for contractual reporting the review period is as stated in this letter unless amended in writing.</w:t>
      </w:r>
    </w:p>
    <w:p>
      <w:r>
        <w:t>The review pack should include:</w:t>
      </w:r>
    </w:p>
    <w:p>
      <w:pPr>
        <w:pStyle w:val="ListBullet"/>
      </w:pPr>
      <w:r>
        <w:t>Annual Review narrative against the agreed results framework.</w:t>
      </w:r>
    </w:p>
    <w:p>
      <w:pPr>
        <w:pStyle w:val="ListBullet"/>
      </w:pPr>
      <w:r>
        <w:t>Updated logframe with milestones, actuals, output scores and variance explanations.</w:t>
      </w:r>
    </w:p>
    <w:p>
      <w:pPr>
        <w:pStyle w:val="ListBullet"/>
      </w:pPr>
      <w:r>
        <w:t>Forecast versus actual expenditure statement.</w:t>
      </w:r>
    </w:p>
    <w:p>
      <w:pPr>
        <w:pStyle w:val="ListBullet"/>
      </w:pPr>
      <w:r>
        <w:t>Value for Money assessment, including economy, efficiency, effectiveness and equity.</w:t>
      </w:r>
    </w:p>
    <w:p>
      <w:pPr>
        <w:pStyle w:val="ListBullet"/>
      </w:pPr>
      <w:r>
        <w:t>Risk, safeguarding and assumptions update.</w:t>
      </w:r>
    </w:p>
    <w:p>
      <w:pPr>
        <w:pStyle w:val="ListBullet"/>
      </w:pPr>
      <w:r>
        <w:t>Recommendations and action plan for the next review period.</w:t>
      </w:r>
    </w:p>
    <w:p>
      <w:pPr>
        <w:pStyle w:val="ListBullet"/>
      </w:pPr>
      <w:r>
        <w:t>Any evaluation or learning outputs produced during the year.</w:t>
      </w:r>
    </w:p>
    <w:p>
      <w:r>
        <w:t>FCDO reserves the right to request supporting documents, including attendance registers, payment records, procurement files, safeguarding incident logs, training attendance sheets, and WASH completion records.</w:t>
      </w:r>
    </w:p>
    <w:p>
      <w:r>
        <w:t>The initial risk rating for this programme is Medium-High, reflecting delivery complexity across two districts, safeguarding sensitivity, construction-related procurement and household grant delivery.</w:t>
      </w:r>
    </w:p>
    <w:p>
      <w:r>
        <w:t>Please sign and return the attached acceptance form by 4 October 2024.</w:t>
      </w:r>
    </w:p>
    <w:p>
      <w:r>
        <w:t>Yours sincerely,</w:t>
        <w:br/>
        <w:t>Helen Armitage</w:t>
        <w:br/>
        <w:t>Senior Responsible Owner, Education and Gender Equality Programmes</w:t>
        <w:br/>
        <w:t>Foreign, Commonwealth &amp; Development Office</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02_FCDO_BridgeLight_Award_Letter</dc:title>
  <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