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BridgeLight Logframe and Finance AR1 Export</w:t>
      </w:r>
    </w:p>
    <w:p>
      <w:pPr>
        <w:jc w:val="center"/>
      </w:pPr>
      <w:r>
        <w:rPr>
          <w:i/>
          <w:sz w:val="20"/>
        </w:rPr>
        <w:t>Indicator / Logframe Data Spreadsheet - pasteable structure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05"/>
        <w:gridCol w:w="11405"/>
      </w:tblGrid>
      <w:tr>
        <w:tc>
          <w:tcPr>
            <w:tcW w:type="dxa" w:w="11405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File name</w:t>
            </w:r>
          </w:p>
        </w:tc>
        <w:tc>
          <w:tcPr>
            <w:tcW w:type="dxa" w:w="1140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BridgeLight_Logframe_and_Finance_AR1_export_2025-10-03.xlsx</w:t>
            </w:r>
          </w:p>
        </w:tc>
      </w:tr>
      <w:tr>
        <w:tc>
          <w:tcPr>
            <w:tcW w:type="dxa" w:w="11405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Worksheet</w:t>
            </w:r>
          </w:p>
        </w:tc>
        <w:tc>
          <w:tcPr>
            <w:tcW w:type="dxa" w:w="1140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AR1_OutputScore_DRAFT_do_not_overwrite</w:t>
            </w:r>
          </w:p>
        </w:tc>
      </w:tr>
      <w:tr>
        <w:tc>
          <w:tcPr>
            <w:tcW w:type="dxa" w:w="11405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Cell A2 note</w:t>
            </w:r>
          </w:p>
        </w:tc>
        <w:tc>
          <w:tcPr>
            <w:tcW w:type="dxa" w:w="11405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Review period shown as 01-Oct-24 to 30-Sep-25 because this is how partner reports were submitted. FCDO letter says 15-Oct to 14-Oct but finance has not recut yet.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tblHeader w:val="true"/>
        </w:trPr>
        <w:tc>
          <w:tcPr>
            <w:tcW w:type="dxa" w:w="9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1"/>
              </w:rPr>
              <w:t>Output</w:t>
            </w:r>
          </w:p>
        </w:tc>
        <w:tc>
          <w:tcPr>
            <w:tcW w:type="dxa" w:w="9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1"/>
              </w:rPr>
              <w:t>Impact weighting</w:t>
            </w:r>
          </w:p>
        </w:tc>
        <w:tc>
          <w:tcPr>
            <w:tcW w:type="dxa" w:w="9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1"/>
              </w:rPr>
              <w:t>Risk rating</w:t>
            </w:r>
          </w:p>
        </w:tc>
        <w:tc>
          <w:tcPr>
            <w:tcW w:type="dxa" w:w="9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1"/>
              </w:rPr>
              <w:t>Indicator ID</w:t>
            </w:r>
          </w:p>
        </w:tc>
        <w:tc>
          <w:tcPr>
            <w:tcW w:type="dxa" w:w="9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1"/>
              </w:rPr>
              <w:t>Indicator text</w:t>
            </w:r>
          </w:p>
        </w:tc>
        <w:tc>
          <w:tcPr>
            <w:tcW w:type="dxa" w:w="9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1"/>
              </w:rPr>
              <w:t>Baseline</w:t>
            </w:r>
          </w:p>
        </w:tc>
        <w:tc>
          <w:tcPr>
            <w:tcW w:type="dxa" w:w="9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1"/>
              </w:rPr>
              <w:t>Year 1 target</w:t>
            </w:r>
          </w:p>
        </w:tc>
        <w:tc>
          <w:tcPr>
            <w:tcW w:type="dxa" w:w="9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1"/>
              </w:rPr>
              <w:t>Endline target</w:t>
            </w:r>
          </w:p>
        </w:tc>
        <w:tc>
          <w:tcPr>
            <w:tcW w:type="dxa" w:w="9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1"/>
              </w:rPr>
              <w:t>Actual achieved value</w:t>
            </w:r>
          </w:p>
        </w:tc>
        <w:tc>
          <w:tcPr>
            <w:tcW w:type="dxa" w:w="9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1"/>
              </w:rPr>
              <w:t>Proposed output score</w:t>
            </w:r>
          </w:p>
        </w:tc>
        <w:tc>
          <w:tcPr>
            <w:tcW w:type="dxa" w:w="9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1"/>
              </w:rPr>
              <w:t>Evidence source</w:t>
            </w:r>
          </w:p>
        </w:tc>
        <w:tc>
          <w:tcPr>
            <w:tcW w:type="dxa" w:w="9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1"/>
              </w:rPr>
              <w:t>Variance explanation</w:t>
            </w:r>
          </w:p>
        </w:tc>
        <w:tc>
          <w:tcPr>
            <w:tcW w:type="dxa" w:w="9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1"/>
              </w:rPr>
              <w:t>Female 6-11</w:t>
            </w:r>
          </w:p>
        </w:tc>
        <w:tc>
          <w:tcPr>
            <w:tcW w:type="dxa" w:w="9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1"/>
              </w:rPr>
              <w:t>Female 12-17</w:t>
            </w:r>
          </w:p>
        </w:tc>
        <w:tc>
          <w:tcPr>
            <w:tcW w:type="dxa" w:w="9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1"/>
              </w:rPr>
              <w:t>Female 18-24</w:t>
            </w:r>
          </w:p>
        </w:tc>
        <w:tc>
          <w:tcPr>
            <w:tcW w:type="dxa" w:w="9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1"/>
              </w:rPr>
              <w:t>Male 6-11</w:t>
            </w:r>
          </w:p>
        </w:tc>
        <w:tc>
          <w:tcPr>
            <w:tcW w:type="dxa" w:w="9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1"/>
              </w:rPr>
              <w:t>Male 12-17</w:t>
            </w:r>
          </w:p>
        </w:tc>
        <w:tc>
          <w:tcPr>
            <w:tcW w:type="dxa" w:w="9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1"/>
              </w:rPr>
              <w:t>Male 18-24</w:t>
            </w:r>
          </w:p>
        </w:tc>
        <w:tc>
          <w:tcPr>
            <w:tcW w:type="dxa" w:w="9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1"/>
              </w:rPr>
              <w:t>Disability count</w:t>
            </w:r>
          </w:p>
        </w:tc>
        <w:tc>
          <w:tcPr>
            <w:tcW w:type="dxa" w:w="9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1"/>
              </w:rPr>
              <w:t>Ultra-poor HH count</w:t>
            </w:r>
          </w:p>
        </w:tc>
        <w:tc>
          <w:tcPr>
            <w:tcW w:type="dxa" w:w="9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1"/>
              </w:rPr>
              <w:t>Previously married / early union count</w:t>
            </w:r>
          </w:p>
        </w:tc>
        <w:tc>
          <w:tcPr>
            <w:tcW w:type="dxa" w:w="9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1"/>
              </w:rPr>
              <w:t>Forecast cost Year 1 GBP</w:t>
            </w:r>
          </w:p>
        </w:tc>
        <w:tc>
          <w:tcPr>
            <w:tcW w:type="dxa" w:w="9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1"/>
              </w:rPr>
              <w:t>Actual cost Year 1 GBP</w:t>
            </w:r>
          </w:p>
        </w:tc>
        <w:tc>
          <w:tcPr>
            <w:tcW w:type="dxa" w:w="95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1"/>
              </w:rPr>
              <w:t>Finance note</w:t>
            </w:r>
          </w:p>
        </w:tc>
      </w:tr>
      <w:tr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Output 1 Girls re-enter and remain in education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35%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Medium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OP1.1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Number of out-of-school or at-risk girls re-enrolled or newly retained through support package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650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1,200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684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School registers; re-entry club forms; district validation sample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Above milestone. Some double-count risk removed in September cleaning.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58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590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33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41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502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76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162,000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174,850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Transport costs higher due to lake-shore schools</w:t>
            </w:r>
          </w:p>
        </w:tc>
      </w:tr>
      <w:tr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Output 1 Girls re-enter and remain in education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35%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Medium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OP1.2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Number of supported girls attending at least 80% of school days in last completed term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500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900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472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Term 3 attendance registers from 36 schools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Under milestone due to late register submission from four schools.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39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410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22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27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350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49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94,000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98,740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Staff time loaded here, may belong in Output 4</w:t>
            </w:r>
          </w:p>
        </w:tc>
      </w:tr>
      <w:tr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Output 1 Girls re-enter and remain in education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35%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Medium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OP1.3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Number of girls completing at least 20 remedial learning sessions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420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850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438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Remedial class attendance sheets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Slightly above milestone.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35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382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21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24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319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38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88,000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81,330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Teacher stipends lower than forecast</w:t>
            </w:r>
          </w:p>
        </w:tc>
      </w:tr>
      <w:tr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Output 2 Schools provide safer WASH and safeguarding conditions for girls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25%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Medium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OP2.1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Number of separate, lockable girls latrine stances rehabilitated or newly functional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6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24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31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WASH engineer completion certificates; school verification photos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Above milestone, but four units still need disposal bins.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121,000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148,900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Cement and transport over budget</w:t>
            </w:r>
          </w:p>
        </w:tc>
      </w:tr>
      <w:tr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Output 2 Schools provide safer WASH and safeguarding conditions for girls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25%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Medium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OP2.2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Number of schools with menstrual health supplies and trained focal teachers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20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40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17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Training attendance sheets; supply distribution records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Below milestone because three schools had no female focal teacher available.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42,000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39,600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Supplies procured late</w:t>
            </w:r>
          </w:p>
        </w:tc>
      </w:tr>
      <w:tr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Output 3 Households reduce immediate cost barriers to girls attendance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25%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High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OP3.1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Number of caregivers receiving education hardship grant linked to girls attendance plan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400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800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392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Mobile money payment list; school attendance follow-up sample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Slightly below target after deduplication of 16 caregiver records.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96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118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178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12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392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146,000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151,440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Payment fees higher than forecast</w:t>
            </w:r>
          </w:p>
        </w:tc>
      </w:tr>
      <w:tr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Output 3 Households reduce immediate cost barriers to girls attendance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25%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High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OP3.2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Number of girls receiving school re-entry kit or learning materials package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550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1,100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571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Kit distribution forms; headteacher confirmations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Above milestone.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48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498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25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33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421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64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103,000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109,250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Extra notebooks bought locally</w:t>
            </w:r>
          </w:p>
        </w:tc>
      </w:tr>
      <w:tr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Output 3 Households reduce immediate cost barriers to girls attendance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25%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High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OP3.3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% of hardship grant households with verified attendance follow-up within 45 days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0%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75%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85%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68%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C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Follow-up tracker; district officer sample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Below milestone because September follow-ups incomplete.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392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31,000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24,980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Underspend due to vacant M&amp;E assistant post</w:t>
            </w:r>
          </w:p>
        </w:tc>
      </w:tr>
      <w:tr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Output 4 District education actors use evidence to improve girls re-entry practice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15%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Low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OP4.1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Number of district learning meetings held with documented action points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4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3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B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Meeting minutes; attendance sheets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One meeting cancelled during district exam period.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12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18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9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39,000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32,700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Venue costs lower</w:t>
            </w:r>
          </w:p>
        </w:tc>
      </w:tr>
      <w:tr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Output 4 District education actors use evidence to improve girls re-entry practice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15%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Low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OP4.3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Number of school/community actors trained on girls re-entry and safeguarding protocols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120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240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136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Training attendance sheets; pre/post quiz forms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Above target.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64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8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28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31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5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5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54,000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58,630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Facilitator travel higher</w:t>
            </w:r>
          </w:p>
        </w:tc>
      </w:tr>
      <w:tr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TOTAL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100%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180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1,944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109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136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167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192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142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2,376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291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880,000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920,420</w:t>
            </w:r>
          </w:p>
        </w:tc>
        <w:tc>
          <w:tcPr>
            <w:tcW w:type="dxa" w:w="95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1"/>
              </w:rPr>
              <w:t>Forecast is AR1 only, not full life-of-project</w:t>
            </w:r>
          </w:p>
        </w:tc>
      </w:tr>
    </w:tbl>
    <w:p/>
    <w:sectPr w:rsidR="00FC693F" w:rsidRPr="0006063C" w:rsidSect="00034616">
      <w:pgSz w:w="23818" w:h="16834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03_FCDO_BridgeLight_Logframe_Data_Table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