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Southbank Neighbourhood Trust</w:t>
      </w:r>
    </w:p>
    <w:p>
      <w:pPr>
        <w:jc w:val="center"/>
      </w:pPr>
      <w:r>
        <w:rPr>
          <w:i/>
          <w:sz w:val="20"/>
        </w:rPr>
        <w:t>NLCF Application - Warm Welcome Youth and Families Hub</w:t>
      </w:r>
    </w:p>
    <w:p/>
    <w:tbl>
      <w:tblPr>
        <w:tblStyle w:val="TableGrid"/>
        <w:tblW w:type="auto" w:w="0"/>
        <w:jc w:val="center"/>
        <w:tblLook w:firstColumn="1" w:firstRow="1" w:lastColumn="0" w:lastRow="0" w:noHBand="0" w:noVBand="1" w:val="04A0"/>
      </w:tblPr>
      <w:tblGrid>
        <w:gridCol w:w="5112"/>
        <w:gridCol w:w="5112"/>
      </w:tblGrid>
      <w:tr>
        <w:tc>
          <w:tcPr>
            <w:tcW w:type="dxa" w:w="5112"/>
            <w:vAlign w:val="top"/>
          </w:tcPr>
          <w:p>
            <w:pPr>
              <w:spacing w:after="0" w:before="0"/>
            </w:pPr>
            <w:r/>
            <w:r>
              <w:rPr>
                <w:b/>
                <w:sz w:val="18"/>
              </w:rPr>
              <w:t>File name</w:t>
            </w:r>
          </w:p>
        </w:tc>
        <w:tc>
          <w:tcPr>
            <w:tcW w:type="dxa" w:w="5112"/>
            <w:vAlign w:val="top"/>
          </w:tcPr>
          <w:p>
            <w:pPr>
              <w:spacing w:after="0" w:before="0"/>
            </w:pPr>
            <w:r/>
            <w:r>
              <w:rPr>
                <w:b w:val="0"/>
                <w:sz w:val="18"/>
              </w:rPr>
              <w:t>SNT_NLCF_Application_WarmWelcome_YouthFamilies_finalFINAL_March.docx</w:t>
            </w:r>
          </w:p>
        </w:tc>
      </w:tr>
      <w:tr>
        <w:tc>
          <w:tcPr>
            <w:tcW w:type="dxa" w:w="5112"/>
            <w:vAlign w:val="top"/>
          </w:tcPr>
          <w:p>
            <w:pPr>
              <w:spacing w:after="0" w:before="0"/>
            </w:pPr>
            <w:r/>
            <w:r>
              <w:rPr>
                <w:b/>
                <w:sz w:val="18"/>
              </w:rPr>
              <w:t>Organisation</w:t>
            </w:r>
          </w:p>
        </w:tc>
        <w:tc>
          <w:tcPr>
            <w:tcW w:type="dxa" w:w="5112"/>
            <w:vAlign w:val="top"/>
          </w:tcPr>
          <w:p>
            <w:pPr>
              <w:spacing w:after="0" w:before="0"/>
            </w:pPr>
            <w:r/>
            <w:r>
              <w:rPr>
                <w:b w:val="0"/>
                <w:sz w:val="18"/>
              </w:rPr>
              <w:t>Southbank Neighbourhood Trust; charity number 1176022</w:t>
            </w:r>
          </w:p>
        </w:tc>
      </w:tr>
      <w:tr>
        <w:tc>
          <w:tcPr>
            <w:tcW w:type="dxa" w:w="5112"/>
            <w:vAlign w:val="top"/>
          </w:tcPr>
          <w:p>
            <w:pPr>
              <w:spacing w:after="0" w:before="0"/>
            </w:pPr>
            <w:r/>
            <w:r>
              <w:rPr>
                <w:b/>
                <w:sz w:val="18"/>
              </w:rPr>
              <w:t>Location</w:t>
            </w:r>
          </w:p>
        </w:tc>
        <w:tc>
          <w:tcPr>
            <w:tcW w:type="dxa" w:w="5112"/>
            <w:vAlign w:val="top"/>
          </w:tcPr>
          <w:p>
            <w:pPr>
              <w:spacing w:after="0" w:before="0"/>
            </w:pPr>
            <w:r/>
            <w:r>
              <w:rPr>
                <w:b w:val="0"/>
                <w:sz w:val="18"/>
              </w:rPr>
              <w:t>Beeston and Holbeck, Leeds</w:t>
            </w:r>
          </w:p>
        </w:tc>
      </w:tr>
      <w:tr>
        <w:tc>
          <w:tcPr>
            <w:tcW w:type="dxa" w:w="5112"/>
            <w:vAlign w:val="top"/>
          </w:tcPr>
          <w:p>
            <w:pPr>
              <w:spacing w:after="0" w:before="0"/>
            </w:pPr>
            <w:r/>
            <w:r>
              <w:rPr>
                <w:b/>
                <w:sz w:val="18"/>
              </w:rPr>
              <w:t>Project title</w:t>
            </w:r>
          </w:p>
        </w:tc>
        <w:tc>
          <w:tcPr>
            <w:tcW w:type="dxa" w:w="5112"/>
            <w:vAlign w:val="top"/>
          </w:tcPr>
          <w:p>
            <w:pPr>
              <w:spacing w:after="0" w:before="0"/>
            </w:pPr>
            <w:r/>
            <w:r>
              <w:rPr>
                <w:b w:val="0"/>
                <w:sz w:val="18"/>
              </w:rPr>
              <w:t>Warm Welcome Youth and Families Hub</w:t>
            </w:r>
          </w:p>
        </w:tc>
      </w:tr>
      <w:tr>
        <w:tc>
          <w:tcPr>
            <w:tcW w:type="dxa" w:w="5112"/>
            <w:vAlign w:val="top"/>
          </w:tcPr>
          <w:p>
            <w:pPr>
              <w:spacing w:after="0" w:before="0"/>
            </w:pPr>
            <w:r/>
            <w:r>
              <w:rPr>
                <w:b/>
                <w:sz w:val="18"/>
              </w:rPr>
              <w:t>Requested funder</w:t>
            </w:r>
          </w:p>
        </w:tc>
        <w:tc>
          <w:tcPr>
            <w:tcW w:type="dxa" w:w="5112"/>
            <w:vAlign w:val="top"/>
          </w:tcPr>
          <w:p>
            <w:pPr>
              <w:spacing w:after="0" w:before="0"/>
            </w:pPr>
            <w:r/>
            <w:r>
              <w:rPr>
                <w:b w:val="0"/>
                <w:sz w:val="18"/>
              </w:rPr>
              <w:t>The National Lottery Community Fund</w:t>
            </w:r>
          </w:p>
        </w:tc>
      </w:tr>
      <w:tr>
        <w:tc>
          <w:tcPr>
            <w:tcW w:type="dxa" w:w="5112"/>
            <w:vAlign w:val="top"/>
          </w:tcPr>
          <w:p>
            <w:pPr>
              <w:spacing w:after="0" w:before="0"/>
            </w:pPr>
            <w:r/>
            <w:r>
              <w:rPr>
                <w:b/>
                <w:sz w:val="18"/>
              </w:rPr>
              <w:t>Application date</w:t>
            </w:r>
          </w:p>
        </w:tc>
        <w:tc>
          <w:tcPr>
            <w:tcW w:type="dxa" w:w="5112"/>
            <w:vAlign w:val="top"/>
          </w:tcPr>
          <w:p>
            <w:pPr>
              <w:spacing w:after="0" w:before="0"/>
            </w:pPr>
            <w:r/>
            <w:r>
              <w:rPr>
                <w:b w:val="0"/>
                <w:sz w:val="18"/>
              </w:rPr>
              <w:t>12 March 2025</w:t>
            </w:r>
          </w:p>
        </w:tc>
      </w:tr>
    </w:tbl>
    <w:p/>
    <w:p>
      <w:pPr>
        <w:pStyle w:val="Heading1"/>
      </w:pPr>
      <w:r>
        <w:t>Project story</w:t>
      </w:r>
    </w:p>
    <w:p>
      <w:r>
        <w:t>Southbank Neighbourhood Trust is a small community charity working with families, young people and older residents in Beeston and Holbeck. We run a community room from the back of St Luke’s Parade and work with local schools, the GP social prescribing team, two tenants groups and the food pantry.</w:t>
      </w:r>
    </w:p>
    <w:p>
      <w:r>
        <w:t>The Warm Welcome Youth and Families Hub will provide a safe weekly space for families and young people who are isolated, anxious or struggling with household costs. The project will run twice weekly after school and on Saturday mornings. It will include shared meals, homework support, youth-led activities, parent drop-ins, basic advice signposting and volunteer-led wellbeing sessions.</w:t>
      </w:r>
    </w:p>
    <w:p>
      <w:r>
        <w:t>We are asking for £78,500 over 18 months. The money will pay for a part-time project coordinator, sessional youth workers, volunteer training, food, heating, room costs, small activity materials and evaluation support. The application budget spreadsheet says £78.5k, but our board minutes rounded this to “about eighty thousand”.</w:t>
      </w:r>
    </w:p>
    <w:p>
      <w:pPr>
        <w:pStyle w:val="Heading1"/>
      </w:pPr>
      <w:r>
        <w:t>Who will benefit</w:t>
      </w:r>
    </w:p>
    <w:p>
      <w:r>
        <w:t>The project will support children aged 8-16, parents and carers, and some older residents who already use the community room. We expect to work with 120 people in the first year, including around 70 children and young people. The project will prioritise families experiencing isolation, low income, poor mental wellbeing or limited access to other local activities.</w:t>
      </w:r>
    </w:p>
    <w:p>
      <w:r>
        <w:t>We expect at least 40 regular families to attend more than three times. We also expect to recruit 18 community volunteers, although volunteer numbers are always difficult because some people help informally and do not want to sign forms.</w:t>
      </w:r>
    </w:p>
    <w:p>
      <w:pPr>
        <w:pStyle w:val="Heading1"/>
      </w:pPr>
      <w:r>
        <w:t>How the community shaped the project</w:t>
      </w:r>
    </w:p>
    <w:p>
      <w:r>
        <w:t>The idea came from parents who told us that winter evenings feel long and expensive, and from young people who said there was “nowhere calm to go” after school. In January 2025, we spoke to 26 parents at the food pantry, 14 young people at the homework club and 7 older residents who use the warm space.</w:t>
      </w:r>
    </w:p>
    <w:p>
      <w:r>
        <w:t>We will keep involving people through short feedback cards, monthly volunteer catch-ups and informal conversations at sessions. The youth group will choose one Saturday activity each month.</w:t>
      </w:r>
    </w:p>
    <w:p>
      <w:pPr>
        <w:pStyle w:val="Heading1"/>
      </w:pPr>
      <w:r>
        <w:t>Difference we expect to make</w:t>
      </w:r>
    </w:p>
    <w:p>
      <w:r>
        <w:t>We expect the project to make three main differences: families feel less isolated and more connected to local support; children and young people have a safe place to go after school and on Saturday mornings; local volunteers gain confidence and help shape community activity.</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top"/>
            <w:shd w:fill="D9EAF7"/>
          </w:tcPr>
          <w:p>
            <w:pPr>
              <w:spacing w:after="0" w:before="0"/>
            </w:pPr>
            <w:r/>
            <w:r>
              <w:rPr>
                <w:b/>
                <w:sz w:val="16"/>
              </w:rPr>
              <w:t>Indicator</w:t>
            </w:r>
          </w:p>
        </w:tc>
        <w:tc>
          <w:tcPr>
            <w:tcW w:type="dxa" w:w="5112"/>
            <w:vAlign w:val="top"/>
            <w:shd w:fill="D9EAF7"/>
          </w:tcPr>
          <w:p>
            <w:pPr>
              <w:spacing w:after="0" w:before="0"/>
            </w:pPr>
            <w:r/>
            <w:r>
              <w:rPr>
                <w:b/>
                <w:sz w:val="16"/>
              </w:rPr>
              <w:t>Target</w:t>
            </w:r>
          </w:p>
        </w:tc>
      </w:tr>
      <w:tr>
        <w:tc>
          <w:tcPr>
            <w:tcW w:type="dxa" w:w="5112"/>
            <w:vAlign w:val="top"/>
          </w:tcPr>
          <w:p>
            <w:pPr>
              <w:spacing w:after="0" w:before="0"/>
            </w:pPr>
            <w:r/>
            <w:r>
              <w:rPr>
                <w:b w:val="0"/>
                <w:sz w:val="16"/>
              </w:rPr>
              <w:t>Unique people attending at least one hub session</w:t>
            </w:r>
          </w:p>
        </w:tc>
        <w:tc>
          <w:tcPr>
            <w:tcW w:type="dxa" w:w="5112"/>
            <w:vAlign w:val="top"/>
          </w:tcPr>
          <w:p>
            <w:pPr>
              <w:spacing w:after="0" w:before="0"/>
            </w:pPr>
            <w:r/>
            <w:r>
              <w:rPr>
                <w:b w:val="0"/>
                <w:sz w:val="16"/>
              </w:rPr>
              <w:t>120</w:t>
            </w:r>
          </w:p>
        </w:tc>
      </w:tr>
      <w:tr>
        <w:tc>
          <w:tcPr>
            <w:tcW w:type="dxa" w:w="5112"/>
            <w:vAlign w:val="top"/>
          </w:tcPr>
          <w:p>
            <w:pPr>
              <w:spacing w:after="0" w:before="0"/>
            </w:pPr>
            <w:r/>
            <w:r>
              <w:rPr>
                <w:b w:val="0"/>
                <w:sz w:val="16"/>
              </w:rPr>
              <w:t>Children and young people attending at least three sessions</w:t>
            </w:r>
          </w:p>
        </w:tc>
        <w:tc>
          <w:tcPr>
            <w:tcW w:type="dxa" w:w="5112"/>
            <w:vAlign w:val="top"/>
          </w:tcPr>
          <w:p>
            <w:pPr>
              <w:spacing w:after="0" w:before="0"/>
            </w:pPr>
            <w:r/>
            <w:r>
              <w:rPr>
                <w:b w:val="0"/>
                <w:sz w:val="16"/>
              </w:rPr>
              <w:t>55</w:t>
            </w:r>
          </w:p>
        </w:tc>
      </w:tr>
      <w:tr>
        <w:tc>
          <w:tcPr>
            <w:tcW w:type="dxa" w:w="5112"/>
            <w:vAlign w:val="top"/>
          </w:tcPr>
          <w:p>
            <w:pPr>
              <w:spacing w:after="0" w:before="0"/>
            </w:pPr>
            <w:r/>
            <w:r>
              <w:rPr>
                <w:b w:val="0"/>
                <w:sz w:val="16"/>
              </w:rPr>
              <w:t>Community volunteers recruited and supported</w:t>
            </w:r>
          </w:p>
        </w:tc>
        <w:tc>
          <w:tcPr>
            <w:tcW w:type="dxa" w:w="5112"/>
            <w:vAlign w:val="top"/>
          </w:tcPr>
          <w:p>
            <w:pPr>
              <w:spacing w:after="0" w:before="0"/>
            </w:pPr>
            <w:r/>
            <w:r>
              <w:rPr>
                <w:b w:val="0"/>
                <w:sz w:val="16"/>
              </w:rPr>
              <w:t>18</w:t>
            </w:r>
          </w:p>
        </w:tc>
      </w:tr>
      <w:tr>
        <w:tc>
          <w:tcPr>
            <w:tcW w:type="dxa" w:w="5112"/>
            <w:vAlign w:val="top"/>
          </w:tcPr>
          <w:p>
            <w:pPr>
              <w:spacing w:after="0" w:before="0"/>
            </w:pPr>
            <w:r/>
            <w:r>
              <w:rPr>
                <w:b w:val="0"/>
                <w:sz w:val="16"/>
              </w:rPr>
              <w:t>Participants reporting they feel less isolated</w:t>
            </w:r>
          </w:p>
        </w:tc>
        <w:tc>
          <w:tcPr>
            <w:tcW w:type="dxa" w:w="5112"/>
            <w:vAlign w:val="top"/>
          </w:tcPr>
          <w:p>
            <w:pPr>
              <w:spacing w:after="0" w:before="0"/>
            </w:pPr>
            <w:r/>
            <w:r>
              <w:rPr>
                <w:b w:val="0"/>
                <w:sz w:val="16"/>
              </w:rPr>
              <w:t>65%</w:t>
            </w:r>
          </w:p>
        </w:tc>
      </w:tr>
      <w:tr>
        <w:tc>
          <w:tcPr>
            <w:tcW w:type="dxa" w:w="5112"/>
            <w:vAlign w:val="top"/>
          </w:tcPr>
          <w:p>
            <w:pPr>
              <w:spacing w:after="0" w:before="0"/>
            </w:pPr>
            <w:r/>
            <w:r>
              <w:rPr>
                <w:b w:val="0"/>
                <w:sz w:val="16"/>
              </w:rPr>
              <w:t>Parent/carer feedback examples collected</w:t>
            </w:r>
          </w:p>
        </w:tc>
        <w:tc>
          <w:tcPr>
            <w:tcW w:type="dxa" w:w="5112"/>
            <w:vAlign w:val="top"/>
          </w:tcPr>
          <w:p>
            <w:pPr>
              <w:spacing w:after="0" w:before="0"/>
            </w:pPr>
            <w:r/>
            <w:r>
              <w:rPr>
                <w:b w:val="0"/>
                <w:sz w:val="16"/>
              </w:rPr>
              <w:t>20 short comments</w:t>
            </w:r>
          </w:p>
        </w:tc>
      </w:tr>
      <w:tr>
        <w:tc>
          <w:tcPr>
            <w:tcW w:type="dxa" w:w="5112"/>
            <w:vAlign w:val="top"/>
          </w:tcPr>
          <w:p>
            <w:pPr>
              <w:spacing w:after="0" w:before="0"/>
            </w:pPr>
            <w:r/>
            <w:r>
              <w:rPr>
                <w:b w:val="0"/>
                <w:sz w:val="16"/>
              </w:rPr>
              <w:t>Young people helping choose or lead activities</w:t>
            </w:r>
          </w:p>
        </w:tc>
        <w:tc>
          <w:tcPr>
            <w:tcW w:type="dxa" w:w="5112"/>
            <w:vAlign w:val="top"/>
          </w:tcPr>
          <w:p>
            <w:pPr>
              <w:spacing w:after="0" w:before="0"/>
            </w:pPr>
            <w:r/>
            <w:r>
              <w:rPr>
                <w:b w:val="0"/>
                <w:sz w:val="16"/>
              </w:rPr>
              <w:t>24</w:t>
            </w:r>
          </w:p>
        </w:tc>
      </w:tr>
    </w:tbl>
    <w:p/>
    <w:p>
      <w:r>
        <w:t>A note added after the February pilot session says we had 31 people attending the first Saturday taster, but the paper sign-in sheet was hard to read and may include siblings twice.</w:t>
      </w:r>
    </w:p>
    <w:p>
      <w:pPr>
        <w:pStyle w:val="Heading1"/>
      </w:pPr>
      <w:r>
        <w:t>Learning and changes</w:t>
      </w:r>
    </w:p>
    <w:p>
      <w:r>
        <w:t>We already learned from the pilot that families prefer food first and activities second. A structured workshop does not work when people arrive tired. We will keep the sessions flexible and build trust before asking people to complete feedback forms. We will also avoid calling it a “mental health project” because several parents said that wording would put people off.</w:t>
      </w:r>
    </w:p>
    <w:p>
      <w:pPr>
        <w:pStyle w:val="Heading1"/>
      </w:pPr>
      <w:r>
        <w:t>Budget</w:t>
      </w:r>
    </w:p>
    <w:tbl>
      <w:tblPr>
        <w:tblStyle w:val="TableGrid"/>
        <w:tblW w:type="auto" w:w="0"/>
        <w:jc w:val="center"/>
        <w:tblLayout w:type="autofit"/>
        <w:tblLook w:firstColumn="1" w:firstRow="1" w:lastColumn="0" w:lastRow="0" w:noHBand="0" w:noVBand="1" w:val="04A0"/>
      </w:tblPr>
      <w:tblGrid>
        <w:gridCol w:w="5112"/>
        <w:gridCol w:w="5112"/>
      </w:tblGrid>
      <w:tr>
        <w:trPr>
          <w:tblHeader w:val="true"/>
        </w:trPr>
        <w:tc>
          <w:tcPr>
            <w:tcW w:type="dxa" w:w="5112"/>
            <w:vAlign w:val="top"/>
            <w:shd w:fill="D9EAF7"/>
          </w:tcPr>
          <w:p>
            <w:pPr>
              <w:spacing w:after="0" w:before="0"/>
            </w:pPr>
            <w:r/>
            <w:r>
              <w:rPr>
                <w:b/>
                <w:sz w:val="16"/>
              </w:rPr>
              <w:t>Cost heading</w:t>
            </w:r>
          </w:p>
        </w:tc>
        <w:tc>
          <w:tcPr>
            <w:tcW w:type="dxa" w:w="5112"/>
            <w:vAlign w:val="top"/>
            <w:shd w:fill="D9EAF7"/>
          </w:tcPr>
          <w:p>
            <w:pPr>
              <w:spacing w:after="0" w:before="0"/>
            </w:pPr>
            <w:r/>
            <w:r>
              <w:rPr>
                <w:b/>
                <w:sz w:val="16"/>
              </w:rPr>
              <w:t>Amount requested</w:t>
            </w:r>
          </w:p>
        </w:tc>
      </w:tr>
      <w:tr>
        <w:tc>
          <w:tcPr>
            <w:tcW w:type="dxa" w:w="5112"/>
            <w:vAlign w:val="top"/>
          </w:tcPr>
          <w:p>
            <w:pPr>
              <w:spacing w:after="0" w:before="0"/>
            </w:pPr>
            <w:r/>
            <w:r>
              <w:rPr>
                <w:b w:val="0"/>
                <w:sz w:val="16"/>
              </w:rPr>
              <w:t>Part-time project coordinator</w:t>
            </w:r>
          </w:p>
        </w:tc>
        <w:tc>
          <w:tcPr>
            <w:tcW w:type="dxa" w:w="5112"/>
            <w:vAlign w:val="top"/>
          </w:tcPr>
          <w:p>
            <w:pPr>
              <w:spacing w:after="0" w:before="0"/>
            </w:pPr>
            <w:r/>
            <w:r>
              <w:rPr>
                <w:b w:val="0"/>
                <w:sz w:val="16"/>
              </w:rPr>
              <w:t>£31,200</w:t>
            </w:r>
          </w:p>
        </w:tc>
      </w:tr>
      <w:tr>
        <w:tc>
          <w:tcPr>
            <w:tcW w:type="dxa" w:w="5112"/>
            <w:vAlign w:val="top"/>
          </w:tcPr>
          <w:p>
            <w:pPr>
              <w:spacing w:after="0" w:before="0"/>
            </w:pPr>
            <w:r/>
            <w:r>
              <w:rPr>
                <w:b w:val="0"/>
                <w:sz w:val="16"/>
              </w:rPr>
              <w:t>Sessional youth workers</w:t>
            </w:r>
          </w:p>
        </w:tc>
        <w:tc>
          <w:tcPr>
            <w:tcW w:type="dxa" w:w="5112"/>
            <w:vAlign w:val="top"/>
          </w:tcPr>
          <w:p>
            <w:pPr>
              <w:spacing w:after="0" w:before="0"/>
            </w:pPr>
            <w:r/>
            <w:r>
              <w:rPr>
                <w:b w:val="0"/>
                <w:sz w:val="16"/>
              </w:rPr>
              <w:t>£13,600</w:t>
            </w:r>
          </w:p>
        </w:tc>
      </w:tr>
      <w:tr>
        <w:tc>
          <w:tcPr>
            <w:tcW w:type="dxa" w:w="5112"/>
            <w:vAlign w:val="top"/>
          </w:tcPr>
          <w:p>
            <w:pPr>
              <w:spacing w:after="0" w:before="0"/>
            </w:pPr>
            <w:r/>
            <w:r>
              <w:rPr>
                <w:b w:val="0"/>
                <w:sz w:val="16"/>
              </w:rPr>
              <w:t>Volunteer training and DBS checks</w:t>
            </w:r>
          </w:p>
        </w:tc>
        <w:tc>
          <w:tcPr>
            <w:tcW w:type="dxa" w:w="5112"/>
            <w:vAlign w:val="top"/>
          </w:tcPr>
          <w:p>
            <w:pPr>
              <w:spacing w:after="0" w:before="0"/>
            </w:pPr>
            <w:r/>
            <w:r>
              <w:rPr>
                <w:b w:val="0"/>
                <w:sz w:val="16"/>
              </w:rPr>
              <w:t>£4,200</w:t>
            </w:r>
          </w:p>
        </w:tc>
      </w:tr>
      <w:tr>
        <w:tc>
          <w:tcPr>
            <w:tcW w:type="dxa" w:w="5112"/>
            <w:vAlign w:val="top"/>
          </w:tcPr>
          <w:p>
            <w:pPr>
              <w:spacing w:after="0" w:before="0"/>
            </w:pPr>
            <w:r/>
            <w:r>
              <w:rPr>
                <w:b w:val="0"/>
                <w:sz w:val="16"/>
              </w:rPr>
              <w:t>Food, heating and room costs</w:t>
            </w:r>
          </w:p>
        </w:tc>
        <w:tc>
          <w:tcPr>
            <w:tcW w:type="dxa" w:w="5112"/>
            <w:vAlign w:val="top"/>
          </w:tcPr>
          <w:p>
            <w:pPr>
              <w:spacing w:after="0" w:before="0"/>
            </w:pPr>
            <w:r/>
            <w:r>
              <w:rPr>
                <w:b w:val="0"/>
                <w:sz w:val="16"/>
              </w:rPr>
              <w:t>£13,500</w:t>
            </w:r>
          </w:p>
        </w:tc>
      </w:tr>
      <w:tr>
        <w:tc>
          <w:tcPr>
            <w:tcW w:type="dxa" w:w="5112"/>
            <w:vAlign w:val="top"/>
          </w:tcPr>
          <w:p>
            <w:pPr>
              <w:spacing w:after="0" w:before="0"/>
            </w:pPr>
            <w:r/>
            <w:r>
              <w:rPr>
                <w:b w:val="0"/>
                <w:sz w:val="16"/>
              </w:rPr>
              <w:t>Activity materials and local trips</w:t>
            </w:r>
          </w:p>
        </w:tc>
        <w:tc>
          <w:tcPr>
            <w:tcW w:type="dxa" w:w="5112"/>
            <w:vAlign w:val="top"/>
          </w:tcPr>
          <w:p>
            <w:pPr>
              <w:spacing w:after="0" w:before="0"/>
            </w:pPr>
            <w:r/>
            <w:r>
              <w:rPr>
                <w:b w:val="0"/>
                <w:sz w:val="16"/>
              </w:rPr>
              <w:t>£8,000</w:t>
            </w:r>
          </w:p>
        </w:tc>
      </w:tr>
      <w:tr>
        <w:tc>
          <w:tcPr>
            <w:tcW w:type="dxa" w:w="5112"/>
            <w:vAlign w:val="top"/>
          </w:tcPr>
          <w:p>
            <w:pPr>
              <w:spacing w:after="0" w:before="0"/>
            </w:pPr>
            <w:r/>
            <w:r>
              <w:rPr>
                <w:b w:val="0"/>
                <w:sz w:val="16"/>
              </w:rPr>
              <w:t>Evaluation and admin</w:t>
            </w:r>
          </w:p>
        </w:tc>
        <w:tc>
          <w:tcPr>
            <w:tcW w:type="dxa" w:w="5112"/>
            <w:vAlign w:val="top"/>
          </w:tcPr>
          <w:p>
            <w:pPr>
              <w:spacing w:after="0" w:before="0"/>
            </w:pPr>
            <w:r/>
            <w:r>
              <w:rPr>
                <w:b w:val="0"/>
                <w:sz w:val="16"/>
              </w:rPr>
              <w:t>£8,000</w:t>
            </w:r>
          </w:p>
        </w:tc>
      </w:tr>
      <w:tr>
        <w:tc>
          <w:tcPr>
            <w:tcW w:type="dxa" w:w="5112"/>
            <w:vAlign w:val="top"/>
          </w:tcPr>
          <w:p>
            <w:pPr>
              <w:spacing w:after="0" w:before="0"/>
            </w:pPr>
            <w:r/>
            <w:r>
              <w:rPr>
                <w:b w:val="0"/>
                <w:sz w:val="16"/>
              </w:rPr>
              <w:t>Total</w:t>
            </w:r>
          </w:p>
        </w:tc>
        <w:tc>
          <w:tcPr>
            <w:tcW w:type="dxa" w:w="5112"/>
            <w:vAlign w:val="top"/>
          </w:tcPr>
          <w:p>
            <w:pPr>
              <w:spacing w:after="0" w:before="0"/>
            </w:pPr>
            <w:r/>
            <w:r>
              <w:rPr>
                <w:b w:val="0"/>
                <w:sz w:val="16"/>
              </w:rPr>
              <w:t>£78,500</w:t>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01_NLCF_Southbank_Application_Proposal</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