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FCDO Annual Review</w:t>
      </w:r>
    </w:p>
    <w:p>
      <w:r>
        <w:t>Funder: Foreign, Commonwealth &amp; Development Office</w:t>
      </w:r>
    </w:p>
    <w:p>
      <w:r>
        <w:t>Reporting period: 2025-04-01 to 2026-03-31</w:t>
      </w:r>
    </w:p>
    <w:p>
      <w:r>
        <w:br w:type="page"/>
      </w:r>
    </w:p>
    <w:p>
      <w:pPr>
        <w:pStyle w:val="Heading1"/>
      </w:pPr>
      <w:r>
        <w:t>A. Summary and Overview</w:t>
      </w:r>
    </w:p>
    <w:p>
      <w:pPr>
        <w:pStyle w:val="Heading2"/>
      </w:pPr>
      <w:r>
        <w:t>Annual Review Summary Sheet</w:t>
      </w:r>
    </w:p>
    <w:p>
      <w:r>
        <w:t>This Annual Review covered a reporting period of 2025-04-01 to 2026-03-31 under programme code MWI-EDU-AR-4471. The programme itself ran from 2024-10-15 to 2026-10-14, with the first FCDO Annual Review period defined in the award letter as 2024-10-15 to 2025-10-14 and the review pack due by 2025-11-21. Submitted partner returns, however, used a different review window of 01-Oct-24 to 30-Sep-25, and finance had not recut the figures at the time of reporting. This affected comparability across some Year 1 results and cost lines.</w:t>
      </w:r>
    </w:p>
    <w:p>
      <w:r>
        <w:t>Overall, Year 1 delivery remained broadly on track. Output delivery was mixed but generally positive against agreed milestones. OP1.1 exceeded target, with 684 girls re-enrolled or retained against a Year 1 target of 650. OP1.3 also exceeded target, with 438 girls completing remedial sessions against a target of 420. OP2.1 surpassed plan, delivering 31 functional girls' latrine stances against a target of 24. OP3.2 slightly exceeded plan, reaching 571 girls with re-entry kits against a target of 550. OP4.3 also performed above target, with 136 school and community actors trained on re-entry and safeguarding against a target of 120.</w:t>
      </w:r>
    </w:p>
    <w:p>
      <w:r>
        <w:t>A smaller set of indicators fell below milestone. OP1.2 reached 472 girls attending at least 80% of school days against a target of 500. Available evidence indicated that four schools submitted attendance registers late, which affected reporting for this indicator. OP2.2 reached 17 schools with menstrual health supplies and trained teachers against a target of 20. Reported variance was linked to menstrual health supply delays, and the assumption that focal teachers would be available held in most schools but did not hold in three schools that lacked a female focal teacher for menstrual health training. OP3.1 was close to plan at 392 caregivers receiving hardship grants against a target of 400. OP4.1 recorded three district learning meetings against a target of four.</w:t>
      </w:r>
    </w:p>
    <w:p>
      <w:r>
        <w:t>The evidence base for reported output results was adequate for Annual Review purposes and drew on school registers, re-entry club forms, WASH engineer certificates, mobile-money hardship grant lists, and district validation samples. District validation samples confirmed re-entry figures, while attendance data remained less complete because of late register submission from four schools. Monitoring also used term attendance registers and school safeguarding pathway checks to assess progress towards improved retention and attendance.</w:t>
      </w:r>
    </w:p>
    <w:p>
      <w:r>
        <w:t>Financial delivery was above the Year 1 budget allocation recorded in the AR1 export. Total Year 1 actual spend was GBP 920,420 against a Year 1 budget of GBP 880,000. Across sampled output lines referenced in management commentary, actual spend totalled GBP 694,860 against forecast GBP 653,000. Variance at line level was mixed: some outputs overspent against budget allocations, including OP1.1, OP1.2, OP2.1, OP3.1, OP3.2 and OP4.3; others underspent, including OP1.3, OP2.2, OP3.3 and OP4.1.</w:t>
      </w:r>
    </w:p>
    <w:p>
      <w:r>
        <w:t>Risk remained manageable during the period based on submitted evidence. No new material risks were reported beyond those already captured in the grant risk register. Lake-shore transport costs increased for OP1.1, but no major climate shock stopped delivery in Year 1. Safeguarding referral pathways were tested in supported schools, and monitoring returns did not report any major incident trend during the year. On fiduciary controls, no evidence indicated that funds were used other than intended; hardship grant verification removed duplicate risk by deduplicating 16 caregiver records before payment.</w:t>
      </w:r>
    </w:p>
    <w:p>
      <w:r>
        <w:t>Agreed follow-up actions were clear and proportionate to the issues identified during implementation and review preparation: recut finance to the FCDO review window of 15-Oct to14-Oct; complete menstrual health training in the three remaining schools; submit late attendance registers from four schools; finish disposal bins linked to four latrine units; and align reporting period labelling with the award letter.</w:t>
      </w:r>
    </w:p>
    <w:p>
      <w:pPr>
        <w:pStyle w:val="Heading3"/>
      </w:pPr>
      <w:r>
        <w:t>Assumptions</w:t>
      </w:r>
    </w:p>
    <w:p>
      <w:pPr>
        <w:pStyle w:val="ListBullet"/>
      </w:pPr>
      <w:r>
        <w:t>The programme title was not available in submitted facts or gap answers, so it was omitted from the summary narrative.</w:t>
      </w:r>
    </w:p>
    <w:p>
      <w:pPr>
        <w:pStyle w:val="ListBullet"/>
      </w:pPr>
      <w:r>
        <w:t>No confirmed overall score or rating was provided for the section as a whole; narrative therefore described overall progress qualitatively as 'broadly on track' based on submitted gap answers.</w:t>
      </w:r>
    </w:p>
    <w:p>
      <w:pPr>
        <w:pStyle w:val="ListBullet"/>
      </w:pPr>
      <w:r>
        <w:t>No confirmed risk rating value was provided for the required summary sheet table.</w:t>
      </w:r>
    </w:p>
    <w:p>
      <w:pPr>
        <w:pStyle w:val="ListBullet"/>
      </w:pPr>
      <w:r>
        <w:t>No confirmed review team details were provided for the required summary sheet table.</w:t>
      </w:r>
    </w:p>
    <w:p>
      <w:pPr>
        <w:pStyle w:val="ListBullet"/>
      </w:pPr>
      <w:r>
        <w:t>The section definition required an Annual Review Summary Sheet table, but several mandatory fields were not available from submitted facts or gap answers, so no table row was fabricated.</w:t>
      </w:r>
    </w:p>
    <w:p>
      <w:pPr>
        <w:pStyle w:val="Heading1"/>
      </w:pPr>
      <w:r>
        <w:t>B. Performance and Conclusions</w:t>
      </w:r>
    </w:p>
    <w:p>
      <w:pPr>
        <w:pStyle w:val="Heading2"/>
      </w:pPr>
      <w:r>
        <w:t>Annual Outcome Assessment</w:t>
      </w:r>
    </w:p>
    <w:p>
      <w:r>
        <w:t>Delivery against the outcome remained broadly on track during the period. The programme aimed to support adolescent girls to improve school retention, attendance and learning continuity with reduced barriers. Monitoring drew on term attendance registers and school safeguarding pathway checks, and reported that supported girls’ attendance and retention improved against Year 1 milestones, with variance notes recorded in the AR1 export.</w:t>
      </w:r>
    </w:p>
    <w:p>
      <w:r>
        <w:t>Performance against expected results was mixed but generally positive. Under retention and attendance outputs, 684 girls were re-enrolled or retained against a Year 1 target of 650, while 472 girls attended at least 80% of school days against a target of 500. The shortfall on attendance was linked to late register submission from four schools, which affected reporting completeness during the review period. Remedial learning delivery exceeded plan, with 438 girls completing remedial sessions against a target of 420.</w:t>
      </w:r>
    </w:p>
    <w:p>
      <w:r>
        <w:t>Progress on reducing practical barriers to attendance was also uneven but acceptable overall. The programme reported 31 functional girls’ latrine stances against a target of 24, exceeding the planned Year 1 milestone. By contrast, 17 schools had menstrual health supplies and trained teachers against a target of 20. Submitted records explained this variance through menstrual health supply delays. Monitoring also noted that the assumption that focal teachers would be available held in most schools, but three schools lacked a female focal teacher for menstrual health training.</w:t>
      </w:r>
    </w:p>
    <w:p>
      <w:r>
        <w:t>Household and re-entry support largely met planned levels. The programme reached 392 caregivers with hardship grants against a target of 400, and provided re-entry kits to 571 girls against a target of 550. Follow-up for hardship-supported households reached a recorded proportion of 0.68 in Year 1. School and community system strengthening also progressed: three district learning meetings were held against a target of four, while 136 school and community actors were trained on re-entry and safeguarding against a target of 120.</w:t>
      </w:r>
    </w:p>
    <w:p>
      <w:r>
        <w:t>Taken together, these results suggested credible progress toward the stated outcome and wider impact on adolescent girls completing basic education in safer, more supportive learning environments in Machinga and Mangochi. Evidence cited for Year 1 included school registers, re-entry club forms, WASH engineer certificates, mobile-money hardship grant lists, and district validation samples. District validation samples confirmed re-entry figures, and September deduplication removed double-count risk on OP1.1. No standalone external evaluation was commissioned in Year 1; instead, monitoring relied on termly indicator returns and partner spot checks.</w:t>
      </w:r>
    </w:p>
    <w:p>
      <w:r>
        <w:t>There were, however, clear limitations that affected confidence in some results. Partner returns used a review period of 01-Oct-24 to 30-Sep-25, while the award letter cited 15 October 2024 to 14 October 2025 for the first Annual Review period; finance had not recut the reporting window at the time reflected in submitted records. This meant performance data were usable for accountability purposes but not yet fully aligned to the FCDO review calendar. Disaggregated monitoring by gender, age and vulnerability was required under the award conditions, but exact disaggregation beyond girls-focused indicator wording was not available in the submitted records for this section.</w:t>
      </w:r>
    </w:p>
    <w:p>
      <w:r>
        <w:t>The main lesson from the period was that delivery systems performed best where administrative follow-up matched implementation pace. Outputs tied to direct service delivery or procurement completion generally met or exceeded plan, while outputs relying on late school submissions or delayed supplies showed slippage. The evidence base was adequate for an Annual Review judgement and showed no indication that overall delivery had gone materially off track, but data timeliness and reporting-period alignment still needed correction.</w:t>
      </w:r>
    </w:p>
    <w:p>
      <w:pPr>
        <w:pStyle w:val="Heading3"/>
      </w:pPr>
      <w:r>
        <w:t>Assumptions</w:t>
      </w:r>
    </w:p>
    <w:p>
      <w:pPr>
        <w:pStyle w:val="ListBullet"/>
      </w:pPr>
      <w:r>
        <w:t>Exact outcome-level percentages for attendance or progression during this reporting section were not available beyond qualitative gap answers and selected output indicators.</w:t>
      </w:r>
    </w:p>
    <w:p>
      <w:pPr>
        <w:pStyle w:val="ListBullet"/>
      </w:pPr>
      <w:r>
        <w:t>No numeric Year 1 target for OP3.3 was available in the supplied facts, so the narrative reported only the recorded actual proportion of 0.68 without judging it against target.</w:t>
      </w:r>
    </w:p>
    <w:p>
      <w:pPr>
        <w:pStyle w:val="ListBullet"/>
      </w:pPr>
      <w:r>
        <w:t>Exact gender, age or vulnerability disaggregation beyond girls-focused indicators was not available in submitted records for this section.</w:t>
      </w:r>
    </w:p>
    <w:p>
      <w:pPr>
        <w:pStyle w:val="ListBullet"/>
      </w:pPr>
      <w:r>
        <w:t>The required Annual Outcome Assessment table could not be reproduced as a structured table because only one qualitative outcome assessment summary was provided rather than full row-level table content.</w:t>
      </w:r>
    </w:p>
    <w:p>
      <w:pPr>
        <w:pStyle w:val="Heading1"/>
      </w:pPr>
      <w:r>
        <w:t>C. Detailed Output Scoring</w:t>
      </w:r>
    </w:p>
    <w:p>
      <w:pPr>
        <w:pStyle w:val="Heading2"/>
      </w:pPr>
      <w:r>
        <w:t>Output scoring against logframe</w:t>
      </w:r>
    </w:p>
    <w:p>
      <w:r>
        <w:t>[Section not generated]</w:t>
      </w:r>
    </w:p>
    <w:p>
      <w:pPr>
        <w:pStyle w:val="Heading1"/>
      </w:pPr>
      <w:r>
        <w:t>Evidence and Evaluation</w:t>
      </w:r>
    </w:p>
    <w:p>
      <w:pPr>
        <w:pStyle w:val="Heading2"/>
      </w:pPr>
      <w:r>
        <w:t>Evidence quality and gaps</w:t>
      </w:r>
    </w:p>
    <w:p>
      <w:r>
        <w:t>Monitoring in the review period relied on routine programme records rather than a standalone external evaluation. Indicator actuals were drawn from the BridgeLight AR1 export, with source notes recorded per output, and monitoring used termly indicator returns and partner spot checks. Outcome monitoring used term attendance registers and school safeguarding pathway checks. Submitted evidence included school registers, re-entry club forms, WASH engineer certificates, mobile-money hardship grant lists, and district validation samples.</w:t>
      </w:r>
    </w:p>
    <w:p>
      <w:r>
        <w:t>The evidence base was adequate for judging output delivery, but it was not equally strong across all indicators. District validation samples confirmed re-entry figures, which supported confidence in OP1.1 reporting. On that basis, reported delivery of 684 girls re-enrolled or retained against a Year 1 target of 650 was supported by submitted records. Evidence was also consistent for infrastructure and training outputs: OP2.1 reported 31 functional girls' latrine stances against a target of 24, and OP4.3 reported 136 school and community actors trained on re-entry and safeguarding against a target of 120. OP3.2 similarly reported 571 girls receiving a re-entry kit against a target of 550. These results were backed by the AR1 export and the named underlying documentation.</w:t>
      </w:r>
    </w:p>
    <w:p>
      <w:r>
        <w:t>Evidence for some indicators was weaker because reporting completeness lagged behind implementation. Four schools submitted attendance registers late, which affected OP1.2. The programme therefore reported 472 girls attending at least 80% of school days against a Year 1 target of 500, but this shortfall needs to be read alongside the missing late registers. The same principle applied to broader outcome assessment: submitted records indicated that supported girls' attendance and retention improved against Year 1 milestones, but the strength of that conclusion depended on routine school records rather than independent verification.</w:t>
      </w:r>
    </w:p>
    <w:p>
      <w:r>
        <w:t>There were also limits in period alignment. Partner returns used a review period of 01-Oct-24 to 30-Sep-25, while the award letter set the first Annual Review period as 15 October 2024 to 14 October 2025; finance had not recut to that window at the time of reporting. That did not invalidate the evidence submitted, but it reduced precision when matching financial and performance data to FCDO's formal review cycle.</w:t>
      </w:r>
    </w:p>
    <w:p>
      <w:r>
        <w:t>No standalone external evaluation was commissioned in Year 1. As a result, this section drew mainly on monitoring evidence and validation samples rather than evaluative analysis of causality or contribution. Within those limits, the records supported a finding that Year 1 delivery remained broadly on track across most sampled outputs, with clear exceptions and caveats recorded where evidence was incomplete or timing issues affected reporting.</w:t>
      </w:r>
    </w:p>
    <w:p>
      <w:r>
        <w:t>Evidence quality and gaps:</w:t>
      </w:r>
    </w:p>
    <w:p>
      <w:r>
        <w:t>- Result or claim: Re-enrolment and retention delivery under OP1.1 exceeded the Year 1 target.</w:t>
      </w:r>
    </w:p>
    <w:p>
      <w:r>
        <w:t>Evidence source: BridgeLight AR1 export; school registers; district validation samples.</w:t>
      </w:r>
    </w:p>
    <w:p>
      <w:r>
        <w:t>Evidence quality: Moderate to strong.</w:t>
      </w:r>
    </w:p>
    <w:p>
      <w:r>
        <w:t>Limitations: Routine monitoring data only; no external verification cited beyond validation samples.</w:t>
      </w:r>
    </w:p>
    <w:p>
      <w:r>
        <w:t>Implication for assessment: Suitable for output assessment with reasonable confidence.</w:t>
      </w:r>
    </w:p>
    <w:p>
      <w:r>
        <w:t>- Result or claim: Attendance performance under OP1.2 fell below target.</w:t>
      </w:r>
    </w:p>
    <w:p>
      <w:r>
        <w:t>Evidence source: BridgeLight AR1 export; attendance registers.</w:t>
      </w:r>
    </w:p>
    <w:p>
      <w:r>
        <w:t>Evidence quality: Moderate.</w:t>
      </w:r>
    </w:p>
    <w:p>
      <w:r>
        <w:t>Limitations: Four schools submitted attendance registers late.</w:t>
      </w:r>
    </w:p>
    <w:p>
      <w:r>
        <w:t>Implication for assessment: Underperformance was plausible, but final judgement should recognise incomplete reporting.</w:t>
      </w:r>
    </w:p>
    <w:p>
      <w:r>
        <w:t>- Result or claim: WASH infrastructure and menstrual health outputs progressed, though not all milestones were met.</w:t>
      </w:r>
    </w:p>
    <w:p>
      <w:r>
        <w:t>Evidence source: BridgeLight AR1 export; WASH engineer certificates.</w:t>
      </w:r>
    </w:p>
    <w:p>
      <w:r>
        <w:t>Evidence quality: Moderate to strong.</w:t>
      </w:r>
    </w:p>
    <w:p>
      <w:r>
        <w:t>Limitations: Menstrual health supply delays affected OP2.2, which reached 17 schools against a target of 20.</w:t>
      </w:r>
    </w:p>
    <w:p>
      <w:r>
        <w:t>Implication for assessment: Physical delivery evidence was credible; variance explanation was documented.</w:t>
      </w:r>
    </w:p>
    <w:p>
      <w:r>
        <w:t>- Result or claim: Financial reporting could be compared with programme delivery trends.</w:t>
      </w:r>
    </w:p>
    <w:p>
      <w:r>
        <w:t>Evidence source: BridgeLight AR1 export; finance lines in AR1 export.</w:t>
      </w:r>
    </w:p>
    <w:p>
      <w:r>
        <w:t>Evidence quality: Moderate.</w:t>
      </w:r>
    </w:p>
    <w:p>
      <w:r>
        <w:t>Limitations: Review-period dates in partner returns did not align with the award-letter Annual Review window.</w:t>
      </w:r>
    </w:p>
    <w:p>
      <w:r>
        <w:t>Implication for assessment: Financial analysis was usable, but exact period comparability remained constrained.</w:t>
      </w:r>
    </w:p>
    <w:p>
      <w:pPr>
        <w:pStyle w:val="Heading3"/>
      </w:pPr>
      <w:r>
        <w:t>Assumptions</w:t>
      </w:r>
    </w:p>
    <w:p>
      <w:pPr>
        <w:pStyle w:val="ListBullet"/>
      </w:pPr>
      <w:r>
        <w:t>The required table has been rendered as structured narrative bullets because no separate table field is available in the requested JSON schema.</w:t>
      </w:r>
    </w:p>
    <w:p>
      <w:pPr>
        <w:pStyle w:val="ListBullet"/>
      </w:pPr>
      <w:r>
        <w:t>No output-level score values were stated verbatim in the supplied facts for this section, so the narrative did not assign additional scores beyond describing evidence strength.</w:t>
      </w:r>
    </w:p>
    <w:p>
      <w:pPr>
        <w:pStyle w:val="ListBullet"/>
      </w:pPr>
      <w:r>
        <w:t>Exact gender, age, or vulnerability disaggregation within this section was not available in submitted records provided here.</w:t>
      </w:r>
    </w:p>
    <w:p>
      <w:pPr>
        <w:pStyle w:val="Heading1"/>
      </w:pPr>
      <w:r>
        <w:t>Risk rating / assumptions / controls, Assumptions and Safeguarding</w:t>
      </w:r>
    </w:p>
    <w:p>
      <w:pPr>
        <w:pStyle w:val="Heading2"/>
      </w:pPr>
      <w:r>
        <w:t>Risk rating / assumptions / controls update</w:t>
      </w:r>
    </w:p>
    <w:p>
      <w:r>
        <w:t>Risk management remained broadly stable during the reporting period. No new material risks were reported beyond those already captured in the grant risk register. The main delivery issue recorded in Year 1 was delay in menstrual health supplies, which affected OP2.2 and contributed to delivery in 17 schools against a target of 20. A related operational assumption held in most schools: community focal teachers were available to support delivery. However, this did not hold fully in three schools, which lacked a female focal teacher for menstrual health training. These issues were managed as implementation constraints rather than as new material risks, and they help explain the shortfall on OP2.2. Climate and environmental conditions did not materially disrupt delivery during the period. Lake-shore transport costs increased for OP1.1, which created cost pressure on that line, but no major climate shock stopped implementation in Year 1. This pattern is consistent with the financial position on OP1.1, where actual spend reached GBP 174,850 against a budget of GBP 162,000 while results still exceeded target, with 684 girls re-enrolled or retained against a Year 1 target of 650. The evidence available supports the conclusion that higher access costs were absorbed without derailing delivery, although they did affect economy on that output line. Financial control measures operated during the year and no evidence was reported that funds were used other than as intended. For hardship grants, payment controls included deduplication of caregiver records before transfer; this process removed 16 duplicate records before payment. Monitoring evidence for Year 1 included school registers, re-entry club forms, WASH engineer certificates, mobile-money hardship grant lists and district validation samples. Taken together, these controls provided a reasonable basis for verifying expenditure and reported results during the period. Safeguarding controls remained active throughout implementation. Safeguarding referral pathways were tested in supported schools, and Year 1 monitoring returns did not report any major incident trend. Outcome monitoring also used school safeguarding pathway checks alongside attendance registers. This suggests that safeguarding arrangements were functioning as part of routine delivery oversight rather than being treated as a stand-alone compliance exercise. At the same time, evidence submitted for this review did not provide incident counts or disaggregation, so this section does not quantify safeguarding case trends beyond what monitoring returns stated. There were also data and reporting control issues that affected assurance levels for some indicators. Partner returns used a review period of 01-Oct-24 to 30-Sep-25, while the award letter set the first Annual Review period as 15 October 2024 to 14 October 2025; finance had not recut figures to that window at the point of reporting. In addition, four schools submitted attendance registers late, which affected OP1.2 reporting. This helps explain why attendance at or above 80% reached 472 against a target of 500 and why caution is needed when interpreting variance on attendance-related measures in this review cycle. These are control weaknesses to correct next period rather than signs of misuse or programme failure. Overall, the programme kept core controls in place and managed identified risks without major interruption to delivery. The clearest areas requiring follow-up were completion of menstrual health training in the remaining three schools linked to OP2.2, correction of reporting-period labelling to match the award letter, and closure of late attendance reporting from four schools so that future reviews rest on cleaner assurance trails.</w:t>
      </w:r>
    </w:p>
    <w:p>
      <w:pPr>
        <w:pStyle w:val="Heading3"/>
      </w:pPr>
      <w:r>
        <w:t>Assumptions</w:t>
      </w:r>
    </w:p>
    <w:p>
      <w:pPr>
        <w:pStyle w:val="ListBullet"/>
      </w:pPr>
      <w:r>
        <w:t>RAG ratings for individual risks were not provided in the submitted facts or gap answers, so no risk update table rows with previous/current ratings have been populated.</w:t>
      </w:r>
    </w:p>
    <w:p>
      <w:pPr>
        <w:pStyle w:val="ListBullet"/>
      </w:pPr>
      <w:r>
        <w:t>Named risk owners were not provided in the submitted facts or gap answers; narrative therefore refers to controls and issues without assigning specific owners.</w:t>
      </w:r>
    </w:p>
    <w:p>
      <w:pPr>
        <w:pStyle w:val="ListBullet"/>
      </w:pPr>
      <w:r>
        <w:t>The underlying grant risk register entries were not included in submitted records; 'no new material risks' has been reported as stated in the gap answer without restating pre-existing risks.</w:t>
      </w:r>
    </w:p>
    <w:p>
      <w:pPr>
        <w:pStyle w:val="ListBullet"/>
      </w:pPr>
      <w:r>
        <w:t>Safeguarding incident counts and disaggregated case data were not available in submitted records.</w:t>
      </w:r>
    </w:p>
    <w:p>
      <w:pPr>
        <w:pStyle w:val="ListBullet"/>
      </w:pPr>
      <w:r>
        <w:t>The reporting package includes two time windows for Annual Review-related data; narrative reflects this inconsistency exactly as recorded and does not reconcile figures beyond submitted evidence.</w:t>
      </w:r>
    </w:p>
    <w:p>
      <w:pPr>
        <w:pStyle w:val="Heading1"/>
      </w:pPr>
      <w:r>
        <w:t>D. Value for Money</w:t>
      </w:r>
    </w:p>
    <w:p>
      <w:pPr>
        <w:pStyle w:val="Heading2"/>
      </w:pPr>
      <w:r>
        <w:t>Value for Money measures</w:t>
      </w:r>
    </w:p>
    <w:p>
      <w:r>
        <w:t>[Section not generated]</w:t>
      </w:r>
    </w:p>
    <w:p>
      <w:pPr>
        <w:pStyle w:val="Heading1"/>
      </w:pPr>
      <w:r>
        <w:t>F. Programme Management: Delivery, Commercial and Financial Performance</w:t>
      </w:r>
    </w:p>
    <w:p>
      <w:pPr>
        <w:pStyle w:val="Heading2"/>
      </w:pPr>
      <w:r>
        <w:t>Delivery, commercial and financial performance</w:t>
      </w:r>
    </w:p>
    <w:p>
      <w:r>
        <w:t>Delivery in Year 1 remained broadly on track, with stronger performance on several output lines and a small number of management issues affecting timing and reporting quality. Re-entry and retention delivery exceeded plan: OP1.1 reached 684 girls against a Year 1 target of 650, while district validation samples confirmed the re-entry figures. Attendance performance was slightly below plan, with OP1.2 reaching 472 girls attending at least 80% of school days against a target of 500. Partner reporting identified late attendance register submission from four schools as the main reason for this variance. Infrastructure and systems outputs were mixed. OP2.1 delivered 31 functional girls' latrine stances against a target of 24, while OP2.2 reached 17 schools against a target of 20 because menstrual health supply delays affected delivery. District learning meetings also fell slightly short, with 3 meetings held against a target of 4.</w:t>
      </w:r>
    </w:p>
    <w:p>
      <w:r>
        <w:t>Financial delivery ran ahead of the Year 1 budget allocation recorded in the AR1 export. Total Year 1 actual spend was GBP 920,420 against a Year 1 budget of GBP 880,000, an overrun of GBP 40,420 on the logframe export basis. At line level, overspends were recorded on OP1.1, OP1.2, OP2.1, OP3.1, OP3.2 and OP4.3, while underspends were recorded on OP1.3, OP2.2, OP3.3 and OP4.1. The largest positive variances were on OP2.1 at GBP 148,900 against GBP 121,000 and on OP1.1 at GBP 174,850 against GBP 162,000; this aligned with stronger than planned delivery on those lines and higher lake-shore transport costs reported for OP1.1. The largest underspend was on OP4.1 at GBP 32,700 against GBP 39,000, consistent with one fewer district learning meeting than planned.</w:t>
      </w:r>
    </w:p>
    <w:p>
      <w:r>
        <w:t>A separate management note in the AR1 process reported sampled output-line spend of GBP 694,860 against forecast GBP 653,000; however, the full logframe export recorded total Year 1 spend at GBP 920,420 against budget GBP 880,000. This section has therefore relied on the full-year totals from the export for overall financial position and treated the sampled-line figure as partial coverage rather than the complete annual total.</w:t>
      </w:r>
    </w:p>
    <w:p>
      <w:r>
        <w:t>Commercial and fiduciary management remained acceptable based on available evidence. No evidence was reported that funds were used other than as intended, and hardship grant checks deduplicated 16 caregiver records before payment. Evidence for delivery and expenditure included school registers, re-entry club forms, WASH engineer certificates, mobile-money hardship grant lists and district validation samples.</w:t>
      </w:r>
    </w:p>
    <w:p>
      <w:r>
        <w:t>Management follow-up focused on practical corrective action rather than major redesign. The programme recorded that finance had not yet recut reporting to match the award letter review window of 15 October to 14 October; partner returns still used 01 October to 30 September labelling. Agreed actions were to recut the AR1 period in Q1 of the next period, chase the four schools for missing Term 3 attendance registers, finish disposal bins linked to WASH works, and complete menstrual health training in the three remaining schools where female focal teachers had not been available.</w:t>
      </w:r>
    </w:p>
    <w:p>
      <w:r>
        <w:t>FCDO management requirements were also being followed through during the review cycle. The award letter set the first Annual Review period as 15 October 2024 to 14 October 2025 and required submission of the review pack by 21 November 2025; partner records noted district learning meetings with documented action points in support of that process.</w:t>
      </w:r>
    </w:p>
    <w:p>
      <w:pPr>
        <w:pStyle w:val="Heading3"/>
      </w:pPr>
      <w:r>
        <w:t>Assumptions</w:t>
      </w:r>
    </w:p>
    <w:p>
      <w:pPr>
        <w:pStyle w:val="ListBullet"/>
      </w:pPr>
      <w:r>
        <w:t>No specific information was available on supplier or consultant performance; narrative therefore addressed commercial performance through procurement and fiduciary management evidence only.</w:t>
      </w:r>
    </w:p>
    <w:p>
      <w:pPr>
        <w:pStyle w:val="ListBullet"/>
      </w:pPr>
      <w:r>
        <w:t>The sampled output-line spend figure of GBP 694,860 against GBP 653,000 was treated as partial coverage because the full logframe export provided a different total Year 1 position.</w:t>
      </w:r>
    </w:p>
    <w:p>
      <w:pPr>
        <w:pStyle w:val="ListBullet"/>
      </w:pPr>
      <w:r>
        <w:t>Exact disaggregation by age or vulnerability was not available in submitted records for this section.</w:t>
      </w:r>
    </w:p>
    <w:p>
      <w:pPr>
        <w:pStyle w:val="Heading1"/>
      </w:pPr>
      <w:r>
        <w:t>Recommendations and Action Points</w:t>
      </w:r>
    </w:p>
    <w:p>
      <w:pPr>
        <w:pStyle w:val="Heading2"/>
      </w:pPr>
      <w:r>
        <w:t>Recommendations and action points</w:t>
      </w:r>
    </w:p>
    <w:p>
      <w:r>
        <w:t>Recommendations from the current review focused on data alignment, completion of delayed activities, and closure of known reporting gaps. The review recommended recutting finance to the FCDO Annual Review window of 15 October to 14 October, completing menstrual health training in the three remaining schools, and submitting late attendance registers. These actions responded directly to two issues recorded during the period: partner returns used a 01-Oct-24 to 30-Sep-25 review period while the award letter set the Annual Review period at 15 October 2024 to 14 October 2025, and four schools submitted attendance registers late, which affected OP1.2 reporting. Menstrual health supply delays also contributed to OP2.2 reaching 17 schools against a Year 1 target of 20.</w:t>
      </w:r>
    </w:p>
    <w:p>
      <w:r>
        <w:t>Updates on previous recommendations showed partial progress. Earlier actions on register cleaning were partially completed, and September deduplication removed double-count risk on OP1.1. Financial control checks also found no evidence that funds were used other than intended, with hardship grant records deduplicating 16 caregiver entries before payment.</w:t>
      </w:r>
    </w:p>
    <w:p>
      <w:r>
        <w:t>Priorities for the next period were therefore clear and evidence-based: close the OP2.2 gap from 17 of 20 schools, complete disposal bins at four latrine units, and align reporting period labelling with the award letter. The agreed action points already assigned internal ownership: the Programme Manager was tasked to recut the AR1 period by Q1 next period; M&amp;E was tasked to follow up with the four schools that had not yet submitted Term 3 registers; and WASH was tasked to finish disposal bins.</w:t>
      </w:r>
    </w:p>
    <w:p>
      <w:pPr>
        <w:pStyle w:val="Heading3"/>
      </w:pPr>
      <w:r>
        <w:t>Assumptions</w:t>
      </w:r>
    </w:p>
    <w:p>
      <w:pPr>
        <w:pStyle w:val="ListBullet"/>
      </w:pPr>
      <w:r>
        <w:t>Exact due dates for each action were not available in submitted records beyond 'by Q1 next period' for recutting the AR1 period.</w:t>
      </w:r>
    </w:p>
    <w:p>
      <w:pPr>
        <w:pStyle w:val="ListBullet"/>
      </w:pPr>
      <w:r>
        <w:t>Priority levels and status labels for the required action table were not provided in the knowledge bank.</w:t>
      </w:r>
    </w:p>
    <w:p>
      <w:pPr>
        <w:pStyle w:val="ListBullet"/>
      </w:pPr>
      <w:r>
        <w:t>The required recommendations action plan table could not be fully populated because submitted records did not provide complete values for due date, priority, status, and follow-up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