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A1F71"/>
          <w:sz w:val="40"/>
        </w:rPr>
        <w:t>BridgeLight Education Trust</w:t>
      </w:r>
    </w:p>
    <w:p>
      <w:r>
        <w:rPr>
          <w:rFonts w:ascii="Calibri" w:hAnsi="Calibri"/>
          <w:b/>
          <w:color w:val="1A1F71"/>
          <w:sz w:val="32"/>
        </w:rPr>
        <w:t>Donor Report — Foreign, Commonwealth &amp; Development Office</w:t>
      </w:r>
    </w:p>
    <w:p>
      <w:r>
        <w:rPr>
          <w:rFonts w:ascii="Calibri" w:hAnsi="Calibri"/>
          <w:color w:val="64748B"/>
          <w:sz w:val="22"/>
        </w:rPr>
        <w:t>Reporting period: 2024-10-15 to 2025-10-14</w:t>
      </w:r>
    </w:p>
    <w:p>
      <w:r>
        <w:rPr>
          <w:rFonts w:ascii="Calibri" w:hAnsi="Calibri"/>
          <w:color w:val="64748B"/>
          <w:sz w:val="22"/>
        </w:rPr>
        <w:t>FCDO Annual Review</w:t>
      </w:r>
    </w:p>
    <w:p>
      <w:r>
        <w:rPr>
          <w:rFonts w:ascii="Calibri" w:hAnsi="Calibri"/>
          <w:color w:val="64748B"/>
          <w:sz w:val="22"/>
        </w:rPr>
        <w:t>6 June 2026</w:t>
      </w:r>
    </w:p>
    <w:p/>
    <w:p>
      <w:r>
        <w:br w:type="page"/>
      </w:r>
    </w:p>
    <w:p>
      <w:pPr>
        <w:pStyle w:val="Heading1"/>
      </w:pPr>
      <w:r>
        <w:t>A. Summary and Overview</w:t>
      </w:r>
    </w:p>
    <w:p>
      <w:pPr>
        <w:pStyle w:val="Heading2"/>
      </w:pPr>
      <w:r>
        <w:t>Annual Review Summary Sheet</w:t>
      </w:r>
    </w:p>
    <w:p>
      <w:r>
        <w:t>The programme made steady progress during the Annual Review period from 15 October 2024 to 14 October 2025. Overall delivery remained on track against the agreed Outputs and Indicators.</w:t>
      </w:r>
    </w:p>
    <w:p>
      <w:pPr>
        <w:pStyle w:val="Heading1"/>
      </w:pPr>
      <w:r>
        <w:t>B. Performance and Conclusions</w:t>
      </w:r>
    </w:p>
    <w:p>
      <w:pPr>
        <w:pStyle w:val="Heading2"/>
      </w:pPr>
      <w:r>
        <w:t>Annual Outcome Assessment</w:t>
      </w:r>
    </w:p>
    <w:p>
      <w:r>
        <w:t>Outcome delivery was assessed against the results framework. Girls demonstrated improved retention and attendance against milestone targets.</w:t>
      </w:r>
    </w:p>
    <w:p>
      <w:pPr>
        <w:pStyle w:val="Heading1"/>
      </w:pPr>
      <w:r>
        <w:t>C. Detailed Output Scoring</w:t>
      </w:r>
    </w:p>
    <w:p>
      <w:pPr>
        <w:pStyle w:val="Heading2"/>
      </w:pPr>
      <w:r>
        <w:t>Output scoring against logframe</w:t>
      </w:r>
    </w:p>
    <w:p>
      <w:r>
        <w:t>Output scoring against the logframe is summarised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Output</w:t>
            </w:r>
          </w:p>
        </w:tc>
        <w:tc>
          <w:tcPr>
            <w:tcW w:type="dxa" w:w="1080"/>
          </w:tcPr>
          <w:p>
            <w:r>
              <w:t>Indicator</w:t>
            </w:r>
          </w:p>
        </w:tc>
        <w:tc>
          <w:tcPr>
            <w:tcW w:type="dxa" w:w="1080"/>
          </w:tcPr>
          <w:p>
            <w:r>
              <w:t>Baseline</w:t>
            </w:r>
          </w:p>
        </w:tc>
        <w:tc>
          <w:tcPr>
            <w:tcW w:type="dxa" w:w="1080"/>
          </w:tcPr>
          <w:p>
            <w:r>
              <w:t>Milestone</w:t>
            </w:r>
          </w:p>
        </w:tc>
        <w:tc>
          <w:tcPr>
            <w:tcW w:type="dxa" w:w="1080"/>
          </w:tcPr>
          <w:p>
            <w:r>
              <w:t>Target</w:t>
            </w:r>
          </w:p>
        </w:tc>
        <w:tc>
          <w:tcPr>
            <w:tcW w:type="dxa" w:w="1080"/>
          </w:tcPr>
          <w:p>
            <w:r>
              <w:t>Actual</w:t>
            </w:r>
          </w:p>
        </w:tc>
        <w:tc>
          <w:tcPr>
            <w:tcW w:type="dxa" w:w="1080"/>
          </w:tcPr>
          <w:p>
            <w:r>
              <w:t>Score</w:t>
            </w:r>
          </w:p>
        </w:tc>
        <w:tc>
          <w:tcPr>
            <w:tcW w:type="dxa" w:w="1080"/>
          </w:tcPr>
          <w:p>
            <w:r>
              <w:t>Evidence</w:t>
            </w:r>
          </w:p>
        </w:tc>
      </w:tr>
      <w:tr>
        <w:tc>
          <w:tcPr>
            <w:tcW w:type="dxa" w:w="1080"/>
          </w:tcPr>
          <w:p>
            <w:r>
              <w:t>OP1.1</w:t>
            </w:r>
          </w:p>
        </w:tc>
        <w:tc>
          <w:tcPr>
            <w:tcW w:type="dxa" w:w="1080"/>
          </w:tcPr>
          <w:p>
            <w:r>
              <w:t>Girls re-enrolled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650</w:t>
            </w:r>
          </w:p>
        </w:tc>
        <w:tc>
          <w:tcPr>
            <w:tcW w:type="dxa" w:w="1080"/>
          </w:tcPr>
          <w:p>
            <w:r>
              <w:t>650</w:t>
            </w:r>
          </w:p>
        </w:tc>
        <w:tc>
          <w:tcPr>
            <w:tcW w:type="dxa" w:w="1080"/>
          </w:tcPr>
          <w:p>
            <w:r>
              <w:t>684</w:t>
            </w:r>
          </w:p>
        </w:tc>
        <w:tc>
          <w:tcPr>
            <w:tcW w:type="dxa" w:w="1080"/>
          </w:tcPr>
          <w:p>
            <w:r>
              <w:t>A+</w:t>
            </w:r>
          </w:p>
        </w:tc>
        <w:tc>
          <w:tcPr>
            <w:tcW w:type="dxa" w:w="1080"/>
          </w:tcPr>
          <w:p>
            <w:r>
              <w:t>School registers</w:t>
            </w:r>
          </w:p>
        </w:tc>
      </w:tr>
      <w:tr>
        <w:tc>
          <w:tcPr>
            <w:tcW w:type="dxa" w:w="1080"/>
          </w:tcPr>
          <w:p>
            <w:r>
              <w:t>OP2.1</w:t>
            </w:r>
          </w:p>
        </w:tc>
        <w:tc>
          <w:tcPr>
            <w:tcW w:type="dxa" w:w="1080"/>
          </w:tcPr>
          <w:p>
            <w:r>
              <w:t>Latrine stances functional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A++</w:t>
            </w:r>
          </w:p>
        </w:tc>
        <w:tc>
          <w:tcPr>
            <w:tcW w:type="dxa" w:w="1080"/>
          </w:tcPr>
          <w:p>
            <w:r>
              <w:t>Site verification</w:t>
            </w:r>
          </w:p>
        </w:tc>
      </w:tr>
      <w:tr>
        <w:tc>
          <w:tcPr>
            <w:tcW w:type="dxa" w:w="1080"/>
          </w:tcPr>
          <w:p>
            <w:r>
              <w:t>OP4.1</w:t>
            </w:r>
          </w:p>
        </w:tc>
        <w:tc>
          <w:tcPr>
            <w:tcW w:type="dxa" w:w="1080"/>
          </w:tcPr>
          <w:p>
            <w:r>
              <w:t>District learning meetings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Meeting minutes</w:t>
            </w:r>
          </w:p>
        </w:tc>
      </w:tr>
    </w:tbl>
    <w:p>
      <w:pPr>
        <w:pStyle w:val="Heading1"/>
      </w:pPr>
      <w:r>
        <w:t>Evidence and Evaluation</w:t>
      </w:r>
    </w:p>
    <w:p>
      <w:pPr>
        <w:pStyle w:val="Heading2"/>
      </w:pPr>
      <w:r>
        <w:t>Evidence quality and gaps</w:t>
      </w:r>
    </w:p>
    <w:p>
      <w:r>
        <w:t>Monitoring data were drawn from partner returns and spot checks. Limitations in late attendance registers were noted and managed.</w:t>
      </w:r>
    </w:p>
    <w:p>
      <w:pPr>
        <w:pStyle w:val="Heading1"/>
      </w:pPr>
      <w:r>
        <w:t>Risk rating / assumptions / controls, Assumptions and Safeguarding</w:t>
      </w:r>
    </w:p>
    <w:p>
      <w:pPr>
        <w:pStyle w:val="Heading2"/>
      </w:pPr>
      <w:r>
        <w:t>Risk rating / assumptions / controls update</w:t>
      </w:r>
    </w:p>
    <w:p>
      <w:r>
        <w:t>Safeguarding controls remained active. Assumption on focal teacher availability was partially realised.</w:t>
      </w:r>
    </w:p>
    <w:p>
      <w:pPr>
        <w:pStyle w:val="Heading1"/>
      </w:pPr>
      <w:r>
        <w:t>D. Value for Money</w:t>
      </w:r>
    </w:p>
    <w:p>
      <w:pPr>
        <w:pStyle w:val="Heading2"/>
      </w:pPr>
      <w:r>
        <w:t>Value for Money measures</w:t>
      </w:r>
    </w:p>
    <w:p>
      <w:r>
        <w:t>Economy and efficiency were acceptable relative to forecast. Effectiveness was supported by output delivery evidence.</w:t>
      </w:r>
    </w:p>
    <w:p>
      <w:pPr>
        <w:pStyle w:val="Heading1"/>
      </w:pPr>
      <w:r>
        <w:t>F. Programme Management: Delivery, Commercial and Financial Performance</w:t>
      </w:r>
    </w:p>
    <w:p>
      <w:pPr>
        <w:pStyle w:val="Heading2"/>
      </w:pPr>
      <w:r>
        <w:t>Delivery, commercial and financial performance</w:t>
      </w:r>
    </w:p>
    <w:p>
      <w:r>
        <w:t>Year 1 spend was GBP 920,420 against a budget of GBP 880,000 with variances explained by accelerated delivery.</w:t>
      </w:r>
    </w:p>
    <w:p>
      <w:pPr>
        <w:pStyle w:val="Heading1"/>
      </w:pPr>
      <w:r>
        <w:t>Recommendations and Action Points</w:t>
      </w:r>
    </w:p>
    <w:p>
      <w:pPr>
        <w:pStyle w:val="Heading2"/>
      </w:pPr>
      <w:r>
        <w:t>Recommendations and action points</w:t>
      </w:r>
    </w:p>
    <w:p>
      <w:r>
        <w:t>Complete menstrual health training in the three remaining schools before the next review period.</w:t>
      </w:r>
    </w:p>
    <w:p>
      <w:r>
        <w:br w:type="page"/>
      </w:r>
    </w:p>
    <w:p>
      <w:pPr>
        <w:pStyle w:val="Heading1"/>
      </w:pPr>
      <w:r>
        <w:t>Assumptions &amp; Caveats</w:t>
      </w:r>
    </w:p>
    <w:p>
      <w:pPr>
        <w:pStyle w:val="ListBullet"/>
      </w:pPr>
      <w:r>
        <w:t>Teacher focal points remain in post for the review period.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64748B"/>
        <w:sz w:val="18"/>
      </w:rPr>
      <w:t>BridgeLight Education Trust  |  Donor Report</w:t>
    </w:r>
    <w:r>
      <w:rPr>
        <w:rFonts w:ascii="Calibri" w:hAnsi="Calibri"/>
        <w:color w:val="64748B"/>
        <w:sz w:val="18"/>
      </w:rPr>
      <w:t xml:space="preserve">  |  Page </w:t>
    </w:r>
    <w:r>
      <w:rPr>
        <w:rFonts w:ascii="Calibri" w:hAnsi="Calibri"/>
        <w:color w:val="64748B"/>
        <w:sz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/>
        <w:color w:val="64748B"/>
        <w:sz w:val="18"/>
      </w:rPr>
      <w:t xml:space="preserve"> of </w:t>
    </w:r>
    <w:r>
      <w:rPr>
        <w:rFonts w:ascii="Calibri" w:hAnsi="Calibri"/>
        <w:color w:val="64748B"/>
        <w:sz w:val="18"/>
      </w:rP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F7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F7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F7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