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F71"/>
          <w:sz w:val="40"/>
        </w:rPr>
        <w:t>BridgeLight Education Trust</w:t>
      </w:r>
    </w:p>
    <w:p>
      <w:r>
        <w:rPr>
          <w:rFonts w:ascii="Calibri" w:hAnsi="Calibri"/>
          <w:b/>
          <w:color w:val="1A1F71"/>
          <w:sz w:val="32"/>
        </w:rPr>
        <w:t>Grant Proposal — FCDO Girls' Education Fund</w:t>
      </w:r>
    </w:p>
    <w:p>
      <w:r>
        <w:rPr>
          <w:rFonts w:ascii="Calibri" w:hAnsi="Calibri"/>
          <w:color w:val="64748B"/>
          <w:sz w:val="22"/>
        </w:rPr>
        <w:t>6 June 2026</w:t>
      </w:r>
    </w:p>
    <w:p/>
    <w:p>
      <w:r>
        <w:br w:type="page"/>
      </w:r>
    </w:p>
    <w:p>
      <w:pPr>
        <w:pStyle w:val="Heading1"/>
      </w:pPr>
      <w:r>
        <w:t>Executive Summary</w:t>
      </w:r>
    </w:p>
    <w:p>
      <w:r>
        <w:t>BridgeLight will re-enrol out-of-school girls across three districts, combining community mobilisation with targeted learning support.</w:t>
      </w:r>
    </w:p>
    <w:p>
      <w:pPr>
        <w:pStyle w:val="Heading1"/>
      </w:pPr>
      <w:r>
        <w:t>Project Design</w:t>
      </w:r>
    </w:p>
    <w:p>
      <w:r>
        <w:t>Activities focus on safe return pathways, teacher coaching, and menstrual health support in upper-primary cohorts.</w:t>
      </w:r>
    </w:p>
    <w:p>
      <w:pPr>
        <w:pStyle w:val="Heading1"/>
      </w:pPr>
      <w:r>
        <w:t>Budget Narrative</w:t>
      </w:r>
    </w:p>
    <w:p>
      <w:r>
        <w:br w:type="page"/>
      </w:r>
    </w:p>
    <w:p>
      <w:pPr>
        <w:pStyle w:val="Heading1"/>
      </w:pPr>
      <w:r>
        <w:t>Assumptions &amp; Caveats</w:t>
      </w:r>
    </w:p>
    <w:p>
      <w:pPr>
        <w:pStyle w:val="ListBullet"/>
      </w:pPr>
      <w:r>
        <w:t>Exchange rate held at planning assumptions.</w:t>
      </w:r>
    </w:p>
    <w:p>
      <w:pPr>
        <w:pStyle w:val="ListBullet"/>
      </w:pPr>
      <w:r>
        <w:t>Partner schools remain accessible during term.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4748B"/>
        <w:sz w:val="18"/>
      </w:rPr>
      <w:t>BridgeLight Education Trust  |  Grant Proposal</w:t>
    </w:r>
    <w:r>
      <w:rPr>
        <w:rFonts w:ascii="Calibri" w:hAnsi="Calibri"/>
        <w:color w:val="64748B"/>
        <w:sz w:val="18"/>
      </w:rPr>
      <w:t xml:space="preserve">  |  Page </w:t>
    </w: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7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