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F71"/>
          <w:sz w:val="40"/>
        </w:rPr>
        <w:t>Organisation</w:t>
      </w:r>
    </w:p>
    <w:p>
      <w:r>
        <w:rPr>
          <w:rFonts w:ascii="Calibri" w:hAnsi="Calibri"/>
          <w:b/>
          <w:color w:val="1A1F71"/>
          <w:sz w:val="32"/>
        </w:rPr>
        <w:t>Donor Report — Foreign, Commonwealth &amp; Development Office</w:t>
      </w:r>
    </w:p>
    <w:p>
      <w:r>
        <w:rPr>
          <w:rFonts w:ascii="Calibri" w:hAnsi="Calibri"/>
          <w:color w:val="64748B"/>
          <w:sz w:val="22"/>
        </w:rPr>
        <w:t>Reporting period: 2025-04-01 to 2026-03-31</w:t>
      </w:r>
    </w:p>
    <w:p>
      <w:r>
        <w:rPr>
          <w:rFonts w:ascii="Calibri" w:hAnsi="Calibri"/>
          <w:color w:val="64748B"/>
          <w:sz w:val="22"/>
        </w:rPr>
        <w:t>FCDO Annual Review</w:t>
      </w:r>
    </w:p>
    <w:p>
      <w:r>
        <w:rPr>
          <w:rFonts w:ascii="Calibri" w:hAnsi="Calibri"/>
          <w:color w:val="64748B"/>
          <w:sz w:val="22"/>
        </w:rPr>
        <w:t>11 June 2026</w:t>
      </w:r>
    </w:p>
    <w:p/>
    <w:p>
      <w:r>
        <w:br w:type="page"/>
      </w:r>
    </w:p>
    <w:p>
      <w:pPr>
        <w:pStyle w:val="Heading1"/>
      </w:pPr>
      <w:r>
        <w:t>A. Summary and Overview</w:t>
      </w:r>
    </w:p>
    <w:p>
      <w:pPr>
        <w:pStyle w:val="Heading2"/>
      </w:pPr>
      <w:r>
        <w:t>Annual Review Summary Sheet</w:t>
      </w:r>
    </w:p>
    <w:p>
      <w:r>
        <w:t>The programme impact objective was for girls to complete basic education in safer, more supportive learning environments.</w:t>
      </w:r>
    </w:p>
    <w:p>
      <w:r>
        <w:t>The programme outcome objective was improved school retention, attendance, learning continuity, and reduced barriers.</w:t>
      </w:r>
    </w:p>
    <w:p>
      <w:r>
        <w:t>684 girls were re-enrolled or newly retained against an AR1 logframe target of 650.</w:t>
      </w:r>
    </w:p>
    <w:p>
      <w:r>
        <w:t>472 were recorded against a target of 500 for OP1.2.</w:t>
      </w:r>
    </w:p>
    <w:p>
      <w:r>
        <w:t>438 were recorded against a target of 420 for OP1.3.</w:t>
      </w:r>
    </w:p>
    <w:p>
      <w:pPr>
        <w:pStyle w:val="Heading1"/>
      </w:pPr>
      <w:r>
        <w:t>B. Performance and Conclusions</w:t>
      </w:r>
    </w:p>
    <w:p>
      <w:pPr>
        <w:pStyle w:val="Heading2"/>
      </w:pPr>
      <w:r>
        <w:t>Annual Outcome Assessment</w:t>
      </w:r>
    </w:p>
    <w:p>
      <w:r>
        <w:t>The programme impact objective was girls complete basic education in safer, more supportive learning environments.</w:t>
      </w:r>
    </w:p>
    <w:p>
      <w:r>
        <w:t>The programme outcome objective was improved school retention, attendance, learning continuity, reduced barriers.</w:t>
      </w:r>
    </w:p>
    <w:p>
      <w:r>
        <w:t>684 girls were re-enrolled or newly retained in AR1.</w:t>
      </w:r>
    </w:p>
    <w:p>
      <w:r>
        <w:t>The AR1 logframe target for girls re-enrolled or newly retained was 650.</w:t>
      </w:r>
    </w:p>
    <w:p>
      <w:r>
        <w:t>472 were recorded against OP1.2, compared with a target of 500.</w:t>
      </w:r>
    </w:p>
    <w:p>
      <w:r>
        <w:t>438 were recorded against OP1.3, compared with a target of 420.</w:t>
      </w:r>
    </w:p>
    <w:p>
      <w:r>
        <w:t>31 were recorded against OP2.1, compared with a target of 24.</w:t>
      </w:r>
    </w:p>
    <w:p>
      <w:pPr>
        <w:pStyle w:val="Heading1"/>
      </w:pPr>
      <w:r>
        <w:t>C. Detailed Output Scoring</w:t>
      </w:r>
    </w:p>
    <w:p>
      <w:pPr>
        <w:pStyle w:val="Heading2"/>
      </w:pPr>
      <w:r>
        <w:t>Output scoring against logframe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Output</w:t>
            </w:r>
          </w:p>
        </w:tc>
        <w:tc>
          <w:tcPr>
            <w:tcW w:type="dxa" w:w="864"/>
          </w:tcPr>
          <w:p>
            <w:r>
              <w:t>Impact weighting</w:t>
            </w:r>
          </w:p>
        </w:tc>
        <w:tc>
          <w:tcPr>
            <w:tcW w:type="dxa" w:w="864"/>
          </w:tcPr>
          <w:p>
            <w:r>
              <w:t>Risk rating</w:t>
            </w:r>
          </w:p>
        </w:tc>
        <w:tc>
          <w:tcPr>
            <w:tcW w:type="dxa" w:w="864"/>
          </w:tcPr>
          <w:p>
            <w:r>
              <w:t>Indicator</w:t>
            </w:r>
          </w:p>
        </w:tc>
        <w:tc>
          <w:tcPr>
            <w:tcW w:type="dxa" w:w="864"/>
          </w:tcPr>
          <w:p>
            <w:r>
              <w:t>Baseline</w:t>
            </w:r>
          </w:p>
        </w:tc>
        <w:tc>
          <w:tcPr>
            <w:tcW w:type="dxa" w:w="864"/>
          </w:tcPr>
          <w:p>
            <w:r>
              <w:t>Milestone</w:t>
            </w:r>
          </w:p>
        </w:tc>
        <w:tc>
          <w:tcPr>
            <w:tcW w:type="dxa" w:w="864"/>
          </w:tcPr>
          <w:p>
            <w:r>
              <w:t>Actual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Evidence</w:t>
            </w:r>
          </w:p>
        </w:tc>
        <w:tc>
          <w:tcPr>
            <w:tcW w:type="dxa" w:w="864"/>
          </w:tcPr>
          <w:p>
            <w:r>
              <w:t>Explanation for variance</w:t>
            </w:r>
          </w:p>
        </w:tc>
      </w:tr>
      <w:tr>
        <w:tc>
          <w:tcPr>
            <w:tcW w:type="dxa" w:w="864"/>
          </w:tcPr>
          <w:p>
            <w:r>
              <w:t>OP1.1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OP1.2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OP1.3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OP2.1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OP2.2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OP2.3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OP3.1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OP3.2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OP3.3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OP4.1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OP4.2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  <w:tr>
        <w:tc>
          <w:tcPr>
            <w:tcW w:type="dxa" w:w="864"/>
          </w:tcPr>
          <w:p>
            <w:r>
              <w:t>OP4.3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  <w:tc>
          <w:tcPr>
            <w:tcW w:type="dxa" w:w="864"/>
          </w:tcPr>
          <w:p>
            <w:r>
              <w:t>not provided</w:t>
            </w:r>
          </w:p>
        </w:tc>
      </w:tr>
    </w:tbl>
    <w:p>
      <w:pPr>
        <w:pStyle w:val="Heading1"/>
      </w:pPr>
      <w:r>
        <w:t>Evidence and Evaluation</w:t>
      </w:r>
    </w:p>
    <w:p>
      <w:pPr>
        <w:pStyle w:val="Heading2"/>
      </w:pPr>
      <w:r>
        <w:t>Evidence quality and gaps</w:t>
      </w:r>
    </w:p>
    <w:p>
      <w:r>
        <w:t>The programme objective at impact level was girls complete basic education in safer, more supportive learning environments.</w:t>
      </w:r>
    </w:p>
    <w:p>
      <w:r>
        <w:t>The outcome objective was improved school retention, attendance, learning continuity, reduced barriers.</w:t>
      </w:r>
    </w:p>
    <w:p>
      <w:r>
        <w:t>684 girls were re-enrolled or newly retained against an AR1 logframe target of 650.</w:t>
      </w:r>
    </w:p>
    <w:p>
      <w:r>
        <w:t>472 were recorded against a target of 500 for OP1.2.</w:t>
      </w:r>
    </w:p>
    <w:p>
      <w:r>
        <w:t>438 were recorded against a target of 420 for OP1.3.</w:t>
      </w:r>
    </w:p>
    <w:p>
      <w:r>
        <w:t>31 were recorded against a target of 24 for OP2.1.</w:t>
      </w:r>
    </w:p>
    <w:p>
      <w:pPr>
        <w:pStyle w:val="Heading1"/>
      </w:pPr>
      <w:r>
        <w:t>Risk rating / assumptions / controls, Assumptions and Safeguarding</w:t>
      </w:r>
    </w:p>
    <w:p>
      <w:pPr>
        <w:pStyle w:val="Heading2"/>
      </w:pPr>
      <w:r>
        <w:t>Risk rating / assumptions / controls update</w:t>
      </w:r>
    </w:p>
    <w:p>
      <w:r>
        <w:t>FCDO required a risk and safeguarding update as part of the Annual Review pack.</w:t>
      </w:r>
    </w:p>
    <w:p>
      <w:r>
        <w:t>The programme impact objective was girls complete basic education in safer, more supportive learning environments.</w:t>
      </w:r>
    </w:p>
    <w:p>
      <w:r>
        <w:t>The programme outcome objective was improved school retention, attendance, learning continuity, reduced barriers.</w:t>
      </w:r>
    </w:p>
    <w:p>
      <w:r>
        <w:t>OP1.1 reached 684 girls against an AR1 logframe target of 650.</w:t>
      </w:r>
    </w:p>
    <w:p>
      <w:r>
        <w:t>OP1.2 recorded 472 against a target of 500.</w:t>
      </w:r>
    </w:p>
    <w:p>
      <w:pPr>
        <w:pStyle w:val="Heading1"/>
      </w:pPr>
      <w:r>
        <w:t>D. Value for Money</w:t>
      </w:r>
    </w:p>
    <w:p>
      <w:pPr>
        <w:pStyle w:val="Heading2"/>
      </w:pPr>
      <w:r>
        <w:t>Value for Money measures</w:t>
      </w:r>
    </w:p>
    <w:p>
      <w:pPr>
        <w:pStyle w:val="Heading1"/>
      </w:pPr>
      <w:r>
        <w:t>F. Programme Management: Delivery, Commercial and Financial Performance</w:t>
      </w:r>
    </w:p>
    <w:p>
      <w:pPr>
        <w:pStyle w:val="Heading2"/>
      </w:pPr>
      <w:r>
        <w:t>Delivery, commercial and financial performance</w:t>
      </w:r>
    </w:p>
    <w:p>
      <w:r>
        <w:t>The programme aimed to support girls to complete basic education in safer, more supportive learning environments.</w:t>
      </w:r>
    </w:p>
    <w:p>
      <w:r>
        <w:t>The intended outcome was improved school retention, attendance, learning continuity, and reduced barriers.</w:t>
      </w:r>
    </w:p>
    <w:p>
      <w:r>
        <w:t>OP1.1 reached 684 girls re-enrolled or newly retained against an AR1 logframe target of 650.</w:t>
      </w:r>
    </w:p>
    <w:p>
      <w:r>
        <w:t>OP1.2 recorded 472 against a target of 500.</w:t>
      </w:r>
    </w:p>
    <w:p>
      <w:pPr>
        <w:pStyle w:val="Heading1"/>
      </w:pPr>
      <w:r>
        <w:t>Recommendations and Action Points</w:t>
      </w:r>
    </w:p>
    <w:p>
      <w:pPr>
        <w:pStyle w:val="Heading2"/>
      </w:pPr>
      <w:r>
        <w:t>Recommendations and action points</w:t>
      </w:r>
    </w:p>
    <w:p>
      <w:r>
        <w:t>The Annual Review requirement included Recommendations and action plan.</w:t>
      </w:r>
    </w:p>
    <w:p>
      <w:r>
        <w:t>The first Annual Review period ran from 2024-10-15 to 2025-10-14.</w:t>
      </w:r>
    </w:p>
    <w:p>
      <w:r>
        <w:t>OP1.1 reached 684 against an AR1 target of 650.</w:t>
      </w:r>
    </w:p>
    <w:p>
      <w:r>
        <w:t>OP1.2 reached 472 against a target of 500.</w:t>
      </w:r>
    </w:p>
    <w:p>
      <w:r>
        <w:t>OP1.3 reached 438 against a target of 420.</w:t>
      </w:r>
    </w:p>
    <w:p>
      <w:r>
        <w:t>OP2.1 reached 31 against a target of 24.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4748B"/>
        <w:sz w:val="18"/>
      </w:rPr>
      <w:t>Organisation  |  Donor Report</w:t>
    </w:r>
    <w:r>
      <w:rPr>
        <w:rFonts w:ascii="Calibri" w:hAnsi="Calibri"/>
        <w:color w:val="64748B"/>
        <w:sz w:val="18"/>
      </w:rPr>
      <w:t xml:space="preserve">  |  Page </w:t>
    </w: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4748B"/>
        <w:sz w:val="18"/>
      </w:rPr>
      <w:t xml:space="preserve"> of </w:t>
    </w:r>
    <w:r>
      <w:rPr>
        <w:rFonts w:ascii="Calibri" w:hAnsi="Calibri"/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7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