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A1F71"/>
          <w:sz w:val="40"/>
        </w:rPr>
        <w:t>Organisation</w:t>
      </w:r>
    </w:p>
    <w:p>
      <w:r>
        <w:rPr>
          <w:rFonts w:ascii="Calibri" w:hAnsi="Calibri"/>
          <w:b/>
          <w:color w:val="1A1F71"/>
          <w:sz w:val="32"/>
        </w:rPr>
        <w:t>Donor Report — Foreign, Commonwealth &amp; Development Office</w:t>
      </w:r>
    </w:p>
    <w:p>
      <w:r>
        <w:rPr>
          <w:rFonts w:ascii="Calibri" w:hAnsi="Calibri"/>
          <w:color w:val="64748B"/>
          <w:sz w:val="22"/>
        </w:rPr>
        <w:t>Reporting period: 2025-04-01 to 2026-03-31</w:t>
      </w:r>
    </w:p>
    <w:p>
      <w:r>
        <w:rPr>
          <w:rFonts w:ascii="Calibri" w:hAnsi="Calibri"/>
          <w:color w:val="64748B"/>
          <w:sz w:val="22"/>
        </w:rPr>
        <w:t>FCDO Annual Review</w:t>
      </w:r>
    </w:p>
    <w:p>
      <w:r>
        <w:rPr>
          <w:rFonts w:ascii="Calibri" w:hAnsi="Calibri"/>
          <w:color w:val="64748B"/>
          <w:sz w:val="22"/>
        </w:rPr>
        <w:t>11 June 2026</w:t>
      </w:r>
    </w:p>
    <w:p/>
    <w:p>
      <w:r>
        <w:br w:type="page"/>
      </w:r>
    </w:p>
    <w:p>
      <w:pPr>
        <w:pStyle w:val="Heading1"/>
      </w:pPr>
      <w:r>
        <w:t>A. Summary and Overview</w:t>
      </w:r>
    </w:p>
    <w:p>
      <w:pPr>
        <w:pStyle w:val="Heading1"/>
      </w:pPr>
      <w:r>
        <w:t>B. Performance and Conclusions</w:t>
      </w:r>
    </w:p>
    <w:p>
      <w:pPr>
        <w:pStyle w:val="Heading2"/>
      </w:pPr>
      <w:r>
        <w:t>Annual Outcome Assessment</w:t>
      </w:r>
    </w:p>
    <w:p>
      <w:pPr>
        <w:pStyle w:val="Heading1"/>
      </w:pPr>
      <w:r>
        <w:t>Evidence and Evaluation</w:t>
      </w:r>
    </w:p>
    <w:p>
      <w:pPr>
        <w:pStyle w:val="Heading2"/>
      </w:pPr>
      <w:r>
        <w:t>Evidence quality and gaps</w:t>
      </w:r>
    </w:p>
    <w:p>
      <w:pPr>
        <w:pStyle w:val="Heading1"/>
      </w:pPr>
      <w:r>
        <w:t>Risk rating / assumptions / controls, Assumptions and Safeguarding</w:t>
      </w:r>
    </w:p>
    <w:p>
      <w:pPr>
        <w:pStyle w:val="Heading2"/>
      </w:pPr>
      <w:r>
        <w:t>Risk rating / assumptions / controls update</w:t>
      </w:r>
    </w:p>
    <w:p>
      <w:pPr>
        <w:pStyle w:val="Heading1"/>
      </w:pPr>
      <w:r>
        <w:t>F. Programme Management: Delivery, Commercial and Financial Performance</w:t>
      </w:r>
    </w:p>
    <w:p>
      <w:pPr>
        <w:pStyle w:val="Heading2"/>
      </w:pPr>
      <w:r>
        <w:t>Delivery, commercial and financial performance</w:t>
      </w:r>
    </w:p>
    <w:p>
      <w:pPr>
        <w:pStyle w:val="Heading1"/>
      </w:pPr>
      <w:r>
        <w:t>Recommendations and Action Points</w:t>
      </w:r>
    </w:p>
    <w:p>
      <w:pPr>
        <w:pStyle w:val="Heading2"/>
      </w:pPr>
      <w:r>
        <w:t>Recommendations and action points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64748B"/>
        <w:sz w:val="18"/>
      </w:rPr>
      <w:t>Organisation  |  Donor Report</w:t>
    </w:r>
    <w:r>
      <w:rPr>
        <w:rFonts w:ascii="Calibri" w:hAnsi="Calibri"/>
        <w:color w:val="64748B"/>
        <w:sz w:val="18"/>
      </w:rPr>
      <w:t xml:space="preserve">  |  Page </w:t>
    </w:r>
    <w:r>
      <w:rPr>
        <w:rFonts w:ascii="Calibri" w:hAnsi="Calibri"/>
        <w:color w:val="64748B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4748B"/>
        <w:sz w:val="18"/>
      </w:rPr>
      <w:t xml:space="preserve"> of </w:t>
    </w:r>
    <w:r>
      <w:rPr>
        <w:rFonts w:ascii="Calibri" w:hAnsi="Calibri"/>
        <w:color w:val="64748B"/>
        <w:sz w:val="18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F7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F7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F7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