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A1F71"/>
          <w:sz w:val="40"/>
        </w:rPr>
        <w:t>Organisation</w:t>
      </w:r>
    </w:p>
    <w:p>
      <w:r>
        <w:rPr>
          <w:rFonts w:ascii="Calibri" w:hAnsi="Calibri"/>
          <w:b/>
          <w:color w:val="1A1F71"/>
          <w:sz w:val="32"/>
        </w:rPr>
        <w:t>Donor Report — The National Lottery Community Fund</w:t>
      </w:r>
    </w:p>
    <w:p>
      <w:r>
        <w:rPr>
          <w:rFonts w:ascii="Calibri" w:hAnsi="Calibri"/>
          <w:color w:val="64748B"/>
          <w:sz w:val="22"/>
        </w:rPr>
        <w:t>Reporting period: 2025-04-01 to 2026-03-31</w:t>
      </w:r>
    </w:p>
    <w:p>
      <w:r>
        <w:rPr>
          <w:rFonts w:ascii="Calibri" w:hAnsi="Calibri"/>
          <w:color w:val="64748B"/>
          <w:sz w:val="22"/>
        </w:rPr>
        <w:t>NLCF Progress Update</w:t>
      </w:r>
    </w:p>
    <w:p>
      <w:r>
        <w:rPr>
          <w:rFonts w:ascii="Calibri" w:hAnsi="Calibri"/>
          <w:color w:val="64748B"/>
          <w:sz w:val="22"/>
        </w:rPr>
        <w:t>14 June 2026</w:t>
      </w:r>
    </w:p>
    <w:p/>
    <w:p>
      <w:r>
        <w:br w:type="page"/>
      </w:r>
    </w:p>
    <w:p>
      <w:pPr>
        <w:pStyle w:val="Heading1"/>
      </w:pPr>
      <w:r>
        <w:t>The story of your project this year</w:t>
      </w:r>
    </w:p>
    <w:p>
      <w:r>
        <w:t>During this reporting period, we delivered the project with a clear community focus on improved community wellbeing and safe local access. The work was rooted in creating a space where families and young people could feel less isolated and more secure in their local area.</w:t>
      </w:r>
    </w:p>
    <w:p>
      <w:r>
        <w:t>Across the year, the differences we were working towards were consistent: families being more connected, young people having safe access, and volunteers gaining confidence through their involvement. Taken together, these outcomes described the main story of the project this year and the change we were seeking to support in the community.</w:t>
      </w:r>
    </w:p>
    <w:p>
      <w:r>
        <w:t>We should also be clear that the submitted records did not include a budget compared with actual spend summary for this section. For that reason, we have not added any financial comparison here that we cannot evidence.</w:t>
      </w:r>
    </w:p>
    <w:p>
      <w:pPr>
        <w:pStyle w:val="Heading1"/>
      </w:pPr>
      <w:r>
        <w:t>How you involved people from your community</w:t>
      </w:r>
    </w:p>
    <w:p>
      <w:r>
        <w:t>We involved people from our community by keeping our work focused on the differences we said we wanted to make locally. Those differences were improved community wellbeing and safe local access, alongside families being more connected, young people having a safe place to access, and volunteers gaining confidence.</w:t>
      </w:r>
    </w:p>
    <w:p>
      <w:r>
        <w:t>The records available for this progress update showed that we had planned to gather parent or carer feedback as part of how community voice was heard, with a target of 20 feedback comments. This indicated that listening to families formed part of our approach to involving the community in the project.</w:t>
      </w:r>
    </w:p>
    <w:p>
      <w:r>
        <w:t>However, the submitted records did not include examples showing how people from the community shaped decisions during the reporting period. They also did not include named examples of local partners or collaboration activity. Because of that, we have not added detail that we can't evidence from the records currently available.</w:t>
      </w:r>
    </w:p>
    <w:p>
      <w:pPr>
        <w:pStyle w:val="Heading1"/>
      </w:pPr>
      <w:r>
        <w:t>The differences you are making, both big and small</w:t>
      </w:r>
    </w:p>
    <w:p>
      <w:pPr>
        <w:pStyle w:val="Heading2"/>
      </w:pPr>
      <w:r>
        <w:t>Outcomes, evidence and examples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Planned change</w:t>
            </w:r>
          </w:p>
        </w:tc>
        <w:tc>
          <w:tcPr>
            <w:tcW w:type="dxa" w:w="1728"/>
          </w:tcPr>
          <w:p>
            <w:r>
              <w:t>Evidence collected</w:t>
            </w:r>
          </w:p>
        </w:tc>
        <w:tc>
          <w:tcPr>
            <w:tcW w:type="dxa" w:w="1728"/>
          </w:tcPr>
          <w:p>
            <w:r>
              <w:t>Numbers</w:t>
            </w:r>
          </w:p>
        </w:tc>
        <w:tc>
          <w:tcPr>
            <w:tcW w:type="dxa" w:w="1728"/>
          </w:tcPr>
          <w:p>
            <w:r>
              <w:t>Story or quote</w:t>
            </w:r>
          </w:p>
        </w:tc>
        <w:tc>
          <w:tcPr>
            <w:tcW w:type="dxa" w:w="1728"/>
          </w:tcPr>
          <w:p>
            <w:r>
              <w:t>What changed</w:t>
            </w:r>
          </w:p>
        </w:tc>
      </w:tr>
      <w:tr>
        <w:tc>
          <w:tcPr>
            <w:tcW w:type="dxa" w:w="1728"/>
          </w:tcPr>
          <w:p>
            <w:r>
              <w:t>not provided</w:t>
            </w:r>
          </w:p>
        </w:tc>
        <w:tc>
          <w:tcPr>
            <w:tcW w:type="dxa" w:w="1728"/>
          </w:tcPr>
          <w:p>
            <w:r>
              <w:t>not provided</w:t>
            </w:r>
          </w:p>
        </w:tc>
        <w:tc>
          <w:tcPr>
            <w:tcW w:type="dxa" w:w="1728"/>
          </w:tcPr>
          <w:p>
            <w:r>
              <w:t>not provided</w:t>
            </w:r>
          </w:p>
        </w:tc>
        <w:tc>
          <w:tcPr>
            <w:tcW w:type="dxa" w:w="1728"/>
          </w:tcPr>
          <w:p>
            <w:r>
              <w:t>not provided</w:t>
            </w:r>
          </w:p>
        </w:tc>
        <w:tc>
          <w:tcPr>
            <w:tcW w:type="dxa" w:w="1728"/>
          </w:tcPr>
          <w:p>
            <w:r>
              <w:t>not provided</w:t>
            </w:r>
          </w:p>
        </w:tc>
      </w:tr>
    </w:tbl>
    <w:p>
      <w:r>
        <w:t>We reached 148 unique people who attended at least one session, against a target of 120.</w:t>
      </w:r>
    </w:p>
    <w:p>
      <w:r>
        <w:t>61 children and young people attended three or more sessions, compared with a target of 55.</w:t>
      </w:r>
    </w:p>
    <w:p>
      <w:r>
        <w:t>We recruited 14 community volunteers against a target of 18.</w:t>
      </w:r>
    </w:p>
    <w:p>
      <w:r>
        <w:t>58% of participants reported feeling less isolated, against a target of 65%.</w:t>
      </w:r>
    </w:p>
    <w:p>
      <w:r>
        <w:t>27 young people chose or led activities, compared with a target of 24.</w:t>
      </w:r>
    </w:p>
    <w:p>
      <w:pPr>
        <w:pStyle w:val="Heading1"/>
      </w:pPr>
      <w:r>
        <w:t>What you learned</w:t>
      </w:r>
    </w:p>
    <w:p>
      <w:r>
        <w:t>During this reporting period, our learning remained anchored in the project’s intended focus on improved community wellbeing and safe local access. We also continued to understand progress through the differences we were making for families, young people and volunteers: families being more connected, young people having safe access, and volunteers gaining confidence.</w:t>
      </w:r>
    </w:p>
    <w:p>
      <w:r>
        <w:t>At the same time, the submitted records did not include enough completed learning evidence for us to give a fuller retrospective account of what worked best, what did not work as expected, any unexpected findings, or what would be most useful for others to learn from our experience. We have therefore avoided drawing conclusions that were not supported by the available evidence.</w:t>
      </w:r>
    </w:p>
    <w:p>
      <w:r>
        <w:t>Based on the information held for this progress update, we can say that our reflection stayed closely tied to the original aims of reducing isolation, providing a safe space, and supporting volunteer confidence. However, exact examples and documented learning points were not available in the submitted material for this section.</w:t>
      </w:r>
    </w:p>
    <w:p>
      <w:pPr>
        <w:pStyle w:val="Heading1"/>
      </w:pPr>
      <w:r>
        <w:t>How you are changing what you do</w:t>
      </w:r>
    </w:p>
    <w:p>
      <w:r>
        <w:t>During this reporting period, we kept our focus on improved community wellbeing and safe local access. We also continued to work toward families being connected, young people having safe access, and volunteers gaining confidence.</w:t>
      </w:r>
    </w:p>
    <w:p>
      <w:r>
        <w:t>However, the submitted records for this progress update did not include enough confirmed evidence to describe specific changes we made to delivery during the period. They also did not set out any documented planned changes or any support needs. Because of that, we have not added detail that cannot be evidenced from the material available.</w:t>
      </w:r>
    </w:p>
    <w:p>
      <w:r>
        <w:t>In this section, we can therefore confirm the direction of the project and its intended differences for the community, but not provide a fuller account of how our practice changed over the year from the current records alone.</w:t>
      </w:r>
    </w:p>
    <w:p>
      <w:pPr>
        <w:pStyle w:val="Heading1"/>
      </w:pPr>
      <w:r>
        <w:t>What you spent this year</w:t>
      </w:r>
    </w:p>
    <w:p>
      <w:pPr>
        <w:pStyle w:val="Heading2"/>
      </w:pPr>
      <w:r>
        <w:t>Budget compared with actual spend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Cost type</w:t>
            </w:r>
          </w:p>
        </w:tc>
        <w:tc>
          <w:tcPr>
            <w:tcW w:type="dxa" w:w="1728"/>
          </w:tcPr>
          <w:p>
            <w:r>
              <w:t>Budgeted amount</w:t>
            </w:r>
          </w:p>
        </w:tc>
        <w:tc>
          <w:tcPr>
            <w:tcW w:type="dxa" w:w="1728"/>
          </w:tcPr>
          <w:p>
            <w:r>
              <w:t>Actual spend</w:t>
            </w:r>
          </w:p>
        </w:tc>
        <w:tc>
          <w:tcPr>
            <w:tcW w:type="dxa" w:w="1728"/>
          </w:tcPr>
          <w:p>
            <w:r>
              <w:t>Variance</w:t>
            </w:r>
          </w:p>
        </w:tc>
        <w:tc>
          <w:tcPr>
            <w:tcW w:type="dxa" w:w="1728"/>
          </w:tcPr>
          <w:p>
            <w:r>
              <w:t>Variance explanation</w:t>
            </w:r>
          </w:p>
        </w:tc>
      </w:tr>
      <w:tr>
        <w:tc>
          <w:tcPr>
            <w:tcW w:type="dxa" w:w="1728"/>
          </w:tcPr>
          <w:p>
            <w:r>
              <w:t>Part-time project coordinator</w:t>
            </w:r>
          </w:p>
        </w:tc>
        <w:tc>
          <w:tcPr>
            <w:tcW w:type="dxa" w:w="1728"/>
          </w:tcPr>
          <w:p>
            <w:r>
              <w:t>31200</w:t>
            </w:r>
          </w:p>
        </w:tc>
        <w:tc>
          <w:tcPr>
            <w:tcW w:type="dxa" w:w="1728"/>
          </w:tcPr>
          <w:p>
            <w:r>
              <w:t>29950</w:t>
            </w:r>
          </w:p>
        </w:tc>
        <w:tc>
          <w:tcPr>
            <w:tcW w:type="dxa" w:w="1728"/>
          </w:tcPr>
          <w:p>
            <w:r>
              <w:t>-1250</w:t>
            </w:r>
          </w:p>
        </w:tc>
        <w:tc>
          <w:tcPr>
            <w:tcW w:type="dxa" w:w="1728"/>
          </w:tcPr>
          <w:p>
            <w:r>
              <w:t>not provided</w:t>
            </w:r>
          </w:p>
        </w:tc>
      </w:tr>
      <w:tr>
        <w:tc>
          <w:tcPr>
            <w:tcW w:type="dxa" w:w="1728"/>
          </w:tcPr>
          <w:p>
            <w:r>
              <w:t>Sessional youth workers — budget (Table2!C12)</w:t>
            </w:r>
          </w:p>
        </w:tc>
        <w:tc>
          <w:tcPr>
            <w:tcW w:type="dxa" w:w="1728"/>
          </w:tcPr>
          <w:p>
            <w:r>
              <w:t>13600</w:t>
            </w:r>
          </w:p>
        </w:tc>
        <w:tc>
          <w:tcPr>
            <w:tcW w:type="dxa" w:w="1728"/>
          </w:tcPr>
          <w:p>
            <w:r>
              <w:t>16480</w:t>
            </w:r>
          </w:p>
        </w:tc>
        <w:tc>
          <w:tcPr>
            <w:tcW w:type="dxa" w:w="1728"/>
          </w:tcPr>
          <w:p>
            <w:r>
              <w:t>2880</w:t>
            </w:r>
          </w:p>
        </w:tc>
        <w:tc>
          <w:tcPr>
            <w:tcW w:type="dxa" w:w="1728"/>
          </w:tcPr>
          <w:p>
            <w:r>
              <w:t>not provided</w:t>
            </w:r>
          </w:p>
        </w:tc>
      </w:tr>
      <w:tr>
        <w:tc>
          <w:tcPr>
            <w:tcW w:type="dxa" w:w="1728"/>
          </w:tcPr>
          <w:p>
            <w:r>
              <w:t>Volunteer training and DBS checks — budget (Table2!C13)</w:t>
            </w:r>
          </w:p>
        </w:tc>
        <w:tc>
          <w:tcPr>
            <w:tcW w:type="dxa" w:w="1728"/>
          </w:tcPr>
          <w:p>
            <w:r>
              <w:t>4200</w:t>
            </w:r>
          </w:p>
        </w:tc>
        <w:tc>
          <w:tcPr>
            <w:tcW w:type="dxa" w:w="1728"/>
          </w:tcPr>
          <w:p>
            <w:r>
              <w:t>3140</w:t>
            </w:r>
          </w:p>
        </w:tc>
        <w:tc>
          <w:tcPr>
            <w:tcW w:type="dxa" w:w="1728"/>
          </w:tcPr>
          <w:p>
            <w:r>
              <w:t>-1060</w:t>
            </w:r>
          </w:p>
        </w:tc>
        <w:tc>
          <w:tcPr>
            <w:tcW w:type="dxa" w:w="1728"/>
          </w:tcPr>
          <w:p>
            <w:r>
              <w:t>not provided</w:t>
            </w:r>
          </w:p>
        </w:tc>
      </w:tr>
      <w:tr>
        <w:tc>
          <w:tcPr>
            <w:tcW w:type="dxa" w:w="1728"/>
          </w:tcPr>
          <w:p>
            <w:r>
              <w:t>Food, heating and room costs — budget (Table2!C14)</w:t>
            </w:r>
          </w:p>
        </w:tc>
        <w:tc>
          <w:tcPr>
            <w:tcW w:type="dxa" w:w="1728"/>
          </w:tcPr>
          <w:p>
            <w:r>
              <w:t>13500</w:t>
            </w:r>
          </w:p>
        </w:tc>
        <w:tc>
          <w:tcPr>
            <w:tcW w:type="dxa" w:w="1728"/>
          </w:tcPr>
          <w:p>
            <w:r>
              <w:t>16260</w:t>
            </w:r>
          </w:p>
        </w:tc>
        <w:tc>
          <w:tcPr>
            <w:tcW w:type="dxa" w:w="1728"/>
          </w:tcPr>
          <w:p>
            <w:r>
              <w:t>2760</w:t>
            </w:r>
          </w:p>
        </w:tc>
        <w:tc>
          <w:tcPr>
            <w:tcW w:type="dxa" w:w="1728"/>
          </w:tcPr>
          <w:p>
            <w:r>
              <w:t>not provided</w:t>
            </w:r>
          </w:p>
        </w:tc>
      </w:tr>
      <w:tr>
        <w:tc>
          <w:tcPr>
            <w:tcW w:type="dxa" w:w="1728"/>
          </w:tcPr>
          <w:p>
            <w:r>
              <w:t>Activity materials and local trips — budget (Table2!C15)</w:t>
            </w:r>
          </w:p>
        </w:tc>
        <w:tc>
          <w:tcPr>
            <w:tcW w:type="dxa" w:w="1728"/>
          </w:tcPr>
          <w:p>
            <w:r>
              <w:t>8000</w:t>
            </w:r>
          </w:p>
        </w:tc>
        <w:tc>
          <w:tcPr>
            <w:tcW w:type="dxa" w:w="1728"/>
          </w:tcPr>
          <w:p>
            <w:r>
              <w:t>7850</w:t>
            </w:r>
          </w:p>
        </w:tc>
        <w:tc>
          <w:tcPr>
            <w:tcW w:type="dxa" w:w="1728"/>
          </w:tcPr>
          <w:p>
            <w:r>
              <w:t>-150</w:t>
            </w:r>
          </w:p>
        </w:tc>
        <w:tc>
          <w:tcPr>
            <w:tcW w:type="dxa" w:w="1728"/>
          </w:tcPr>
          <w:p>
            <w:r>
              <w:t>not provided</w:t>
            </w:r>
          </w:p>
        </w:tc>
      </w:tr>
      <w:tr>
        <w:tc>
          <w:tcPr>
            <w:tcW w:type="dxa" w:w="1728"/>
          </w:tcPr>
          <w:p>
            <w:r>
              <w:t>Evaluation and admin — budget (Table2!C16)</w:t>
            </w:r>
          </w:p>
        </w:tc>
        <w:tc>
          <w:tcPr>
            <w:tcW w:type="dxa" w:w="1728"/>
          </w:tcPr>
          <w:p>
            <w:r>
              <w:t>8000</w:t>
            </w:r>
          </w:p>
        </w:tc>
        <w:tc>
          <w:tcPr>
            <w:tcW w:type="dxa" w:w="1728"/>
          </w:tcPr>
          <w:p>
            <w:r>
              <w:t>4780</w:t>
            </w:r>
          </w:p>
        </w:tc>
        <w:tc>
          <w:tcPr>
            <w:tcW w:type="dxa" w:w="1728"/>
          </w:tcPr>
          <w:p>
            <w:r>
              <w:t>-3220</w:t>
            </w:r>
          </w:p>
        </w:tc>
        <w:tc>
          <w:tcPr>
            <w:tcW w:type="dxa" w:w="1728"/>
          </w:tcPr>
          <w:p>
            <w:r>
              <w:t>not provided</w:t>
            </w:r>
          </w:p>
        </w:tc>
      </w:tr>
      <w:tr>
        <w:tc>
          <w:tcPr>
            <w:tcW w:type="dxa" w:w="1728"/>
          </w:tcPr>
          <w:p>
            <w:r>
              <w:t>TOTAL — budget (Table2!C17)</w:t>
            </w:r>
          </w:p>
        </w:tc>
        <w:tc>
          <w:tcPr>
            <w:tcW w:type="dxa" w:w="1728"/>
          </w:tcPr>
          <w:p>
            <w:r>
              <w:t>78500</w:t>
            </w:r>
          </w:p>
        </w:tc>
        <w:tc>
          <w:tcPr>
            <w:tcW w:type="dxa" w:w="1728"/>
          </w:tcPr>
          <w:p>
            <w:r>
              <w:t>78460</w:t>
            </w:r>
          </w:p>
        </w:tc>
        <w:tc>
          <w:tcPr>
            <w:tcW w:type="dxa" w:w="1728"/>
          </w:tcPr>
          <w:p>
            <w:r>
              <w:t>-40</w:t>
            </w:r>
          </w:p>
        </w:tc>
        <w:tc>
          <w:tcPr>
            <w:tcW w:type="dxa" w:w="1728"/>
          </w:tcPr>
          <w:p>
            <w:r>
              <w:t>not provided</w:t>
            </w:r>
          </w:p>
        </w:tc>
      </w:tr>
    </w:tbl>
    <w:p>
      <w:r>
        <w:t>Our total budget for the year was £78,500.</w:t>
      </w:r>
    </w:p>
    <w:p>
      <w:r>
        <w:t>Our actual spend for the year was £78,460.</w:t>
      </w:r>
    </w:p>
    <w:p>
      <w:r>
        <w:t>Spend on the part-time project coordinator was £29,950 against a budget of £31,200.</w:t>
      </w:r>
    </w:p>
    <w:p>
      <w:r>
        <w:t>Spend on sessional youth workers was £16,480 against a budget of £13,600.</w:t>
      </w:r>
    </w:p>
    <w:p>
      <w:r>
        <w:t>Spend on volunteer training and DBS checks was £3,140 against a budget of £4,200.</w:t>
      </w:r>
    </w:p>
    <w:p>
      <w:r>
        <w:t>Spend on food, heating and room costs was £16,260 against a budget of £13,500.</w:t>
      </w:r>
    </w:p>
    <w:p>
      <w:pPr>
        <w:pStyle w:val="Heading1"/>
      </w:pPr>
      <w:r>
        <w:t>If this is your last progress update</w:t>
      </w:r>
    </w:p>
    <w:p>
      <w:r>
        <w:br w:type="page"/>
      </w:r>
    </w:p>
    <w:p>
      <w:pPr>
        <w:pStyle w:val="Heading1"/>
      </w:pPr>
      <w:r>
        <w:t>Assumptions &amp; Caveats</w:t>
      </w:r>
    </w:p>
    <w:p>
      <w:pPr>
        <w:pStyle w:val="ListBullet"/>
      </w:pPr>
      <w:r>
        <w:t>Beneficiary numbers were not available in the submitted records.</w:t>
      </w:r>
    </w:p>
    <w:p>
      <w:pPr>
        <w:pStyle w:val="ListBullet"/>
      </w:pPr>
      <w:r>
        <w:t>Activity totals, attendance figures, and demographic breakdowns were not available in the submitted records.</w:t>
      </w:r>
    </w:p>
    <w:p>
      <w:pPr>
        <w:pStyle w:val="ListBullet"/>
      </w:pPr>
      <w:r>
        <w:t>Examples of what worked, what did not work, and any unexpected learning were not available in the submitted records.</w:t>
      </w:r>
    </w:p>
    <w:p>
      <w:pPr>
        <w:pStyle w:val="ListBullet"/>
      </w:pPr>
      <w:r>
        <w:t>The budget compared with actual spend was not available in the submitted records.</w:t>
      </w:r>
    </w:p>
    <w:p>
      <w:pPr>
        <w:pStyle w:val="ListBullet"/>
      </w:pPr>
      <w:r>
        <w:t>Examples of how people from the community influenced activities or decisions were not available in the submitted records.</w:t>
      </w:r>
    </w:p>
    <w:p>
      <w:pPr>
        <w:pStyle w:val="ListBullet"/>
      </w:pPr>
      <w:r>
        <w:t>Examples of work with local partners or other community organisations were not available in the submitted records.</w:t>
      </w:r>
    </w:p>
    <w:p>
      <w:pPr>
        <w:pStyle w:val="ListBullet"/>
      </w:pPr>
      <w:r>
        <w:t>Actual parent or carer feedback collected during the reporting period was not available in the submitted records, so we could only refer to the recorded target.</w:t>
      </w:r>
    </w:p>
    <w:p>
      <w:pPr>
        <w:pStyle w:val="ListBullet"/>
      </w:pPr>
      <w:r>
        <w:t>Detailed written reflections on what worked were not available in the submitted records.</w:t>
      </w:r>
    </w:p>
    <w:p>
      <w:pPr>
        <w:pStyle w:val="ListBullet"/>
      </w:pPr>
      <w:r>
        <w:t>Detailed written reflections on what did not work were not available in the submitted records.</w:t>
      </w:r>
    </w:p>
    <w:p>
      <w:pPr>
        <w:pStyle w:val="ListBullet"/>
      </w:pPr>
      <w:r>
        <w:t>Any unexpected findings were not described in the submitted records.</w:t>
      </w:r>
    </w:p>
    <w:p>
      <w:pPr>
        <w:pStyle w:val="ListBullet"/>
      </w:pPr>
      <w:r>
        <w:t>Learning that could be shared with other organisations was not set out in the submitted records.</w:t>
      </w:r>
    </w:p>
    <w:p>
      <w:pPr>
        <w:pStyle w:val="ListBullet"/>
      </w:pPr>
      <w:r>
        <w:t>Specific information on changes made to delivery during the reporting period was not available in the submitted records.</w:t>
      </w:r>
    </w:p>
    <w:p>
      <w:pPr>
        <w:pStyle w:val="ListBullet"/>
      </w:pPr>
      <w:r>
        <w:t>Specific information on planned changes was not available in the submitted records.</w:t>
      </w:r>
    </w:p>
    <w:p>
      <w:pPr>
        <w:pStyle w:val="ListBullet"/>
      </w:pPr>
      <w:r>
        <w:t>Specific information on support needed was not available in the submitted records.</w:t>
      </w:r>
    </w:p>
    <w:p>
      <w:pPr>
        <w:pStyle w:val="ListBullet"/>
      </w:pPr>
      <w:r>
        <w:t>The "Outcomes, evidence and examples" table is included, but no verified figures were available in the submitted records to populate it.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64748B"/>
        <w:sz w:val="18"/>
      </w:rPr>
      <w:t>Organisation  |  Donor Report</w:t>
    </w:r>
    <w:r>
      <w:rPr>
        <w:rFonts w:ascii="Calibri" w:hAnsi="Calibri"/>
        <w:color w:val="64748B"/>
        <w:sz w:val="18"/>
      </w:rPr>
      <w:t xml:space="preserve">  |  Page </w:t>
    </w:r>
    <w:r>
      <w:rPr>
        <w:rFonts w:ascii="Calibri" w:hAnsi="Calibri"/>
        <w:color w:val="64748B"/>
        <w:sz w:val="18"/>
      </w:rPr>
      <w:fldChar w:fldCharType="begin"/>
      <w:instrText xml:space="preserve">PAGE</w:instrText>
      <w:fldChar w:fldCharType="separate"/>
      <w:fldChar w:fldCharType="end"/>
    </w:r>
    <w:r>
      <w:rPr>
        <w:rFonts w:ascii="Calibri" w:hAnsi="Calibri"/>
        <w:color w:val="64748B"/>
        <w:sz w:val="18"/>
      </w:rPr>
      <w:t xml:space="preserve"> of </w:t>
    </w:r>
    <w:r>
      <w:rPr>
        <w:rFonts w:ascii="Calibri" w:hAnsi="Calibri"/>
        <w:color w:val="64748B"/>
        <w:sz w:val="18"/>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F7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F7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F7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