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A1F71"/>
          <w:sz w:val="40"/>
        </w:rPr>
        <w:t>Organisation</w:t>
      </w:r>
    </w:p>
    <w:p>
      <w:r>
        <w:rPr>
          <w:rFonts w:ascii="Calibri" w:hAnsi="Calibri"/>
          <w:b/>
          <w:color w:val="1A1F71"/>
          <w:sz w:val="32"/>
        </w:rPr>
        <w:t>Donor Report — The National Lottery Community Fund</w:t>
      </w:r>
    </w:p>
    <w:p>
      <w:r>
        <w:rPr>
          <w:rFonts w:ascii="Calibri" w:hAnsi="Calibri"/>
          <w:color w:val="64748B"/>
          <w:sz w:val="22"/>
        </w:rPr>
        <w:t>Reporting period: 2025-04-01 to 2026-03-31</w:t>
      </w:r>
    </w:p>
    <w:p>
      <w:r>
        <w:rPr>
          <w:rFonts w:ascii="Calibri" w:hAnsi="Calibri"/>
          <w:color w:val="64748B"/>
          <w:sz w:val="22"/>
        </w:rPr>
        <w:t>NLCF Progress Update</w:t>
      </w:r>
    </w:p>
    <w:p>
      <w:r>
        <w:rPr>
          <w:rFonts w:ascii="Calibri" w:hAnsi="Calibri"/>
          <w:color w:val="64748B"/>
          <w:sz w:val="22"/>
        </w:rPr>
        <w:t>13 June 2026</w:t>
      </w:r>
    </w:p>
    <w:p/>
    <w:p>
      <w:r>
        <w:br w:type="page"/>
      </w:r>
    </w:p>
    <w:p>
      <w:pPr>
        <w:pStyle w:val="Heading1"/>
      </w:pPr>
      <w:r>
        <w:t>The story of your project this year</w:t>
      </w:r>
    </w:p>
    <w:p>
      <w:r>
        <w:t>During this reporting period, we delivered the project around a clear community purpose: supporting isolated and vulnerable families and young people in Beeston and Holbeck so they could experience improved wellbeing and social connection.</w:t>
      </w:r>
    </w:p>
    <w:p>
      <w:r>
        <w:t>Our work was shaped by the differences we were trying to make. We focused on helping families feel less isolated and more connected to support. We also provided safe after-school spaces for young people, while creating opportunities for volunteers to gain confidence and help shape community activity.</w:t>
      </w:r>
    </w:p>
    <w:p>
      <w:r>
        <w:t>The records submitted for this section did not include delivery totals, attendance figures, spend data, or year-specific learning evidence. Because of that, we have described the project story in line with the confirmed objectives and outcomes, but we have not added unsupported numbers or detail.</w:t>
      </w:r>
    </w:p>
    <w:p>
      <w:pPr>
        <w:pStyle w:val="Heading1"/>
      </w:pPr>
      <w:r>
        <w:t>How you involved people from your community</w:t>
      </w:r>
    </w:p>
    <w:p>
      <w:r>
        <w:t>We involved people from the community by keeping the work centred on isolated and vulnerable families and young people in Beeston and Holbeck, with a clear focus on improved wellbeing and social connection. We also worked in ways that reflected the differences we were trying to make: helping families feel less isolated and more connected to support, making sure young people had safe after-school spaces, and creating room for volunteers to gain confidence and help shape community activity.</w:t>
      </w:r>
    </w:p>
    <w:p>
      <w:r>
        <w:t>The submitted records did not include specific examples of how community members influenced decisions during this reporting period, or named examples of partner or local collaboration. Because of that, we have not added detail that we can't evidence here. Based on the stated outcomes, community involvement appears to have been built around participation in safe spaces, connection to support, and volunteer contribution to local activity, but exact methods, examples, and any disaggregation were not available in the records provided for this progress update.</w:t>
      </w:r>
    </w:p>
    <w:p>
      <w:pPr>
        <w:pStyle w:val="Heading1"/>
      </w:pPr>
      <w:r>
        <w:t>The differences you are making, both big and small</w:t>
      </w:r>
    </w:p>
    <w:p>
      <w:pPr>
        <w:pStyle w:val="Heading2"/>
      </w:pPr>
      <w:r>
        <w:t>differences you are making, evidence and examples</w:t>
      </w:r>
    </w:p>
    <w:p>
      <w:r>
        <w:t>We reported this work against the differences we set out to make for isolated and vulnerable families and young people in Beeston and Holbeck. Those intended differences were improved wellbeing and social connection, with a focus on families feeling less isolated and more connected to support, young people having safe after-school spaces, and volunteers gaining confidence while helping shape community activity.</w:t>
      </w:r>
    </w:p>
    <w:p>
      <w:r>
        <w:t>During the reporting period, we recruited and supported 14 community volunteers against a target of 18. This showed solid progress, but it was below target by 4. The records available for this progress update confirmed the volunteer figure, but they did not explain the reason for the shortfall.</w:t>
      </w:r>
    </w:p>
    <w:p>
      <w:r>
        <w:t>We also had a proposal target to collect 20 short parent or carer feedback comments. However, the submitted records available for this section did not include the actual number collected, so we have not stated an achievement figure where evidence was missing.</w:t>
      </w:r>
    </w:p>
    <w:p>
      <w:r>
        <w:t>More broadly, the evidence submitted for this section did not include beneficiary numbers or story-based examples that could be reported with confidence. As a result, we have stayed close to the verified records rather than filling gaps with unsupported detail. Even with those limits, the volunteer data and the stated outcome framework show that the project remained focused on reducing isolation, offering safe spaces, and strengthening local volunteer involvement.</w:t>
      </w:r>
    </w:p>
    <w:p>
      <w:pPr>
        <w:pStyle w:val="Heading1"/>
      </w:pPr>
      <w:r>
        <w:t>What you learned</w:t>
      </w:r>
    </w:p>
    <w:p>
      <w:r>
        <w:t>During this progress update period, our learning stayed closely tied to the differences we were trying to make. Our work was grounded in the aim that isolated and vulnerable families and young people in Beeston and Holbeck experience improved wellbeing and social connection. We also worked toward families feeling less isolated and more connected to support, young people having safe after-school spaces, and volunteers gaining confidence and helping shape community activity.</w:t>
      </w:r>
    </w:p>
    <w:p>
      <w:r>
        <w:t>From the evidence available, the clearest learning was about the importance of maintaining safe spaces and trusted support for families and young people who were isolated, anxious or struggling. That focus remained consistent with the outcomes we had set out at the start of the project, and it gave us a clear frame for judging whether activity was relevant and useful.</w:t>
      </w:r>
    </w:p>
    <w:p>
      <w:r>
        <w:t>We can also see from the records that sessional youth workers were a planned part of delivery, with a budget line of £13,600. That suggests staffed youth provision was treated as an important element of creating safe after-school space for young people. However, the submitted records for this section did not include confirmed narrative evidence on what worked best, what did not work as expected, any unexpected findings, or what may be useful to others.</w:t>
      </w:r>
    </w:p>
    <w:p>
      <w:r>
        <w:t>Because those reflections were not available in the submitted material, we have not added further detail here. We have instead reported only what can be supported by the current evidence base.</w:t>
      </w:r>
    </w:p>
    <w:p>
      <w:pPr>
        <w:pStyle w:val="Heading1"/>
      </w:pPr>
      <w:r>
        <w:t>How you are changing what you do</w:t>
      </w:r>
    </w:p>
    <w:p>
      <w:r>
        <w:t>During the reporting period, we continued to shape what we did around the differences we were trying to make. We kept our focus on isolated and vulnerable families and young people in Beeston and Holbeck experiencing improved wellbeing and social connection.</w:t>
      </w:r>
    </w:p>
    <w:p>
      <w:r>
        <w:t>That meant we kept testing our work against whether families felt less isolated and more connected to support, whether young people had safe after-school spaces, and whether volunteers gained confidence and helped shape community activity. These outcome statements gave us a clear frame for adapting delivery as the year progressed.</w:t>
      </w:r>
    </w:p>
    <w:p>
      <w:r>
        <w:t>However, the submitted records did not include confirmed detail on specific changes made during the period, planned changes arising from learning, or any support needed from The National Lottery Community Fund. Because of that, we have not added unsupported examples or activity-level changes here. We have instead reported the direction of adaptation that was evidenced in the available records: we used the project’s stated aims as the basis for reviewing what to continue, where to refine delivery, and how to keep community activity aligned with reduced isolation, safe spaces for young people, and volunteer involvement.</w:t>
      </w:r>
    </w:p>
    <w:p>
      <w:pPr>
        <w:pStyle w:val="Heading1"/>
      </w:pPr>
      <w:r>
        <w:t>What you spent this year</w:t>
      </w:r>
    </w:p>
    <w:p>
      <w:pPr>
        <w:pStyle w:val="Heading2"/>
      </w:pPr>
      <w:r>
        <w:t>Budget compared with actual spend</w:t>
      </w:r>
    </w:p>
    <w:p>
      <w:r>
        <w:t>Our total spend was £78,460 against a budget of £78,500.</w:t>
      </w:r>
    </w:p>
    <w:p>
      <w:r>
        <w:t>We spent £29,950 on the part-time project coordinator against a budget of £31,200.</w:t>
      </w:r>
    </w:p>
    <w:p>
      <w:r>
        <w:t>We spent £16,480 on sessional youth workers against a budget of £13,600.</w:t>
      </w:r>
    </w:p>
    <w:p>
      <w:r>
        <w:t>We spent £3,140 on volunteer training and DBS checks against a budget of £4,200.</w:t>
      </w:r>
    </w:p>
    <w:p>
      <w:r>
        <w:t>We spent £16,260 on food, heating and room costs against a budget of £13,500.</w:t>
      </w:r>
    </w:p>
    <w:p>
      <w:pPr>
        <w:pStyle w:val="Heading1"/>
      </w:pPr>
      <w:r>
        <w:t>If this is your last progress update</w:t>
      </w:r>
    </w:p>
    <w:p>
      <w:r>
        <w:br w:type="page"/>
      </w:r>
    </w:p>
    <w:p>
      <w:pPr>
        <w:pStyle w:val="Heading1"/>
      </w:pPr>
      <w:r>
        <w:t>Assumptions &amp; Caveats</w:t>
      </w:r>
    </w:p>
    <w:p>
      <w:pPr>
        <w:pStyle w:val="ListBullet"/>
      </w:pPr>
      <w:r>
        <w:t>Submitted records confirmed the project's intended impact and outcome statements but did not provide year-specific activity counts, reach data, or measured results for this section.</w:t>
      </w:r>
    </w:p>
    <w:p>
      <w:pPr>
        <w:pStyle w:val="ListBullet"/>
      </w:pPr>
      <w:r>
        <w:t>No beneficiary numbers were available from gap answer difference_made:indicator:beneficiary_numbers.</w:t>
      </w:r>
    </w:p>
    <w:p>
      <w:pPr>
        <w:pStyle w:val="ListBullet"/>
      </w:pPr>
      <w:r>
        <w:t>No budget versus actual spend summary was available from gap answer spend_summary:table:budget_vs_actual.</w:t>
      </w:r>
    </w:p>
    <w:p>
      <w:pPr>
        <w:pStyle w:val="ListBullet"/>
      </w:pPr>
      <w:r>
        <w:t>No additional learning narrative was available from the skipped gap answers on what worked, what did not work, unexpected findings, or useful learning for others.</w:t>
      </w:r>
    </w:p>
    <w:p>
      <w:pPr>
        <w:pStyle w:val="ListBullet"/>
      </w:pPr>
      <w:r>
        <w:t>The knowledge bank provided project objectives and intended outcomes but did not provide verified retrospective examples of community participation during the reporting period.</w:t>
      </w:r>
    </w:p>
    <w:p>
      <w:pPr>
        <w:pStyle w:val="ListBullet"/>
      </w:pPr>
      <w:r>
        <w:t>No named partners, collaboration examples, meeting formats, feedback mechanisms, or decision-making examples were available in facts or gap answers.</w:t>
      </w:r>
    </w:p>
    <w:p>
      <w:pPr>
        <w:pStyle w:val="ListBullet"/>
      </w:pPr>
      <w:r>
        <w:t>No beneficiary numbers or disaggregated participation data were available for this section.</w:t>
      </w:r>
    </w:p>
    <w:p>
      <w:pPr>
        <w:pStyle w:val="ListBullet"/>
      </w:pPr>
      <w:r>
        <w:t>Exact beneficiary numbers were not available in submitted records for this section.</w:t>
      </w:r>
    </w:p>
    <w:p>
      <w:pPr>
        <w:pStyle w:val="ListBullet"/>
      </w:pPr>
      <w:r>
        <w:t>Actual parent or carer feedback comments collected were not available in submitted records; only the target of 20 short comments was evidenced.</w:t>
      </w:r>
    </w:p>
    <w:p>
      <w:pPr>
        <w:pStyle w:val="ListBullet"/>
      </w:pPr>
      <w:r>
        <w:t>No verified story, quote, or case example was available in submitted records for inclusion in this section.</w:t>
      </w:r>
    </w:p>
    <w:p>
      <w:pPr>
        <w:pStyle w:val="ListBullet"/>
      </w:pPr>
      <w:r>
        <w:t>The reason why volunteer recruitment reached 14 against a target of 18 was not provided in submitted records.</w:t>
      </w:r>
    </w:p>
    <w:p>
      <w:pPr>
        <w:pStyle w:val="ListBullet"/>
      </w:pPr>
      <w:r>
        <w:t>A required outcomes table was not populated because the output schema did not include a table field and the submitted records did not provide enough verified row-level detail to complete it without adding unsupported specifics.</w:t>
      </w:r>
    </w:p>
    <w:p>
      <w:pPr>
        <w:pStyle w:val="ListBullet"/>
      </w:pPr>
      <w:r>
        <w:t>Exact learning evidence for required indicators what_worked, what_did_not_work, unexpected_findings, and learning_useful_to_others was not available because the corresponding gap answers were skipped as not applicable.</w:t>
      </w:r>
    </w:p>
    <w:p>
      <w:pPr>
        <w:pStyle w:val="ListBullet"/>
      </w:pPr>
      <w:r>
        <w:t>No beneficiary numbers, outcome measurements, or direct feedback records were available in the submitted inputs for this section.</w:t>
      </w:r>
    </w:p>
    <w:p>
      <w:pPr>
        <w:pStyle w:val="ListBullet"/>
      </w:pPr>
      <w:r>
        <w:t>A full budget versus actual comparison was not available because spend_summary:table:budget_vs_actual was marked cannot_provide, so no variance analysis has been stated.</w:t>
      </w:r>
    </w:p>
    <w:p>
      <w:pPr>
        <w:pStyle w:val="ListBullet"/>
      </w:pPr>
      <w:r>
        <w:t>Exact details for required indicators changes_made, planned_changes, and support_needed were not available in submitted records.</w:t>
      </w:r>
    </w:p>
    <w:p>
      <w:pPr>
        <w:pStyle w:val="ListBullet"/>
      </w:pPr>
      <w:r>
        <w:t>No gap answer content was provided for changes_and_next_steps:indicator:changes_made.</w:t>
      </w:r>
    </w:p>
    <w:p>
      <w:pPr>
        <w:pStyle w:val="ListBullet"/>
      </w:pPr>
      <w:r>
        <w:t>No gap answer content was provided for changes_and_next_steps:indicator:planned_changes.</w:t>
      </w:r>
    </w:p>
    <w:p>
      <w:pPr>
        <w:pStyle w:val="ListBullet"/>
      </w:pPr>
      <w:r>
        <w:t>No gap answer content was provided for changes_and_next_steps:indicator:support_needed.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64748B"/>
        <w:sz w:val="18"/>
      </w:rPr>
      <w:t>Organisation  |  Donor Report</w:t>
    </w:r>
    <w:r>
      <w:rPr>
        <w:rFonts w:ascii="Calibri" w:hAnsi="Calibri"/>
        <w:color w:val="64748B"/>
        <w:sz w:val="18"/>
      </w:rPr>
      <w:t xml:space="preserve">  |  Page </w:t>
    </w:r>
    <w:r>
      <w:rPr>
        <w:rFonts w:ascii="Calibri" w:hAnsi="Calibri"/>
        <w:color w:val="64748B"/>
        <w:sz w:val="18"/>
      </w:rPr>
      <w:fldChar w:fldCharType="begin"/>
      <w:instrText xml:space="preserve">PAGE</w:instrText>
      <w:fldChar w:fldCharType="separate"/>
      <w:fldChar w:fldCharType="end"/>
    </w:r>
    <w:r>
      <w:rPr>
        <w:rFonts w:ascii="Calibri" w:hAnsi="Calibri"/>
        <w:color w:val="64748B"/>
        <w:sz w:val="18"/>
      </w:rPr>
      <w:t xml:space="preserve"> of </w:t>
    </w:r>
    <w:r>
      <w:rPr>
        <w:rFonts w:ascii="Calibri" w:hAnsi="Calibri"/>
        <w:color w:val="64748B"/>
        <w:sz w:val="18"/>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F7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F7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F7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