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A91C4" w14:textId="77777777" w:rsidR="00CD317C" w:rsidRDefault="00AD1611" w:rsidP="009F06D6">
      <w:pPr>
        <w:spacing w:before="100" w:beforeAutospacing="1" w:after="240"/>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Poster </w:t>
      </w:r>
      <w:r w:rsidR="0046517F" w:rsidRPr="002F53D9">
        <w:rPr>
          <w:rFonts w:ascii="Times New Roman" w:eastAsia="Times New Roman" w:hAnsi="Times New Roman" w:cs="Times New Roman"/>
          <w:b/>
          <w:iCs/>
          <w:sz w:val="24"/>
          <w:szCs w:val="24"/>
        </w:rPr>
        <w:t>Abstract</w:t>
      </w:r>
      <w:r w:rsidR="00DD7809">
        <w:rPr>
          <w:rFonts w:ascii="Times New Roman" w:eastAsia="Times New Roman" w:hAnsi="Times New Roman" w:cs="Times New Roman"/>
          <w:b/>
          <w:iCs/>
          <w:sz w:val="24"/>
          <w:szCs w:val="24"/>
        </w:rPr>
        <w:t>.</w:t>
      </w:r>
      <w:r w:rsidR="00FD775F">
        <w:rPr>
          <w:rFonts w:ascii="Times New Roman" w:eastAsia="Times New Roman" w:hAnsi="Times New Roman" w:cs="Times New Roman"/>
          <w:b/>
          <w:iCs/>
          <w:sz w:val="24"/>
          <w:szCs w:val="24"/>
        </w:rPr>
        <w:t xml:space="preserve">  </w:t>
      </w:r>
      <w:r w:rsidR="00CD317C">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00CD317C" w:rsidRPr="00CD317C">
        <w:rPr>
          <w:rFonts w:ascii="Times New Roman" w:eastAsia="Times New Roman" w:hAnsi="Times New Roman" w:cs="Times New Roman"/>
          <w:b/>
          <w:iCs/>
          <w:sz w:val="24"/>
          <w:szCs w:val="24"/>
        </w:rPr>
        <w:t>data story</w:t>
      </w:r>
      <w:r w:rsidR="00CD317C" w:rsidRPr="00D735FC">
        <w:rPr>
          <w:rFonts w:ascii="Times New Roman" w:eastAsia="Times New Roman" w:hAnsi="Times New Roman" w:cs="Times New Roman"/>
          <w:iCs/>
          <w:sz w:val="24"/>
          <w:szCs w:val="24"/>
        </w:rPr>
        <w:t xml:space="preserve">.  </w:t>
      </w:r>
      <w:r w:rsidR="00CD317C" w:rsidRPr="00D735FC">
        <w:rPr>
          <w:rFonts w:ascii="Times New Roman" w:eastAsia="Times New Roman" w:hAnsi="Times New Roman" w:cs="Times New Roman"/>
          <w:sz w:val="24"/>
          <w:szCs w:val="24"/>
        </w:rPr>
        <w:t xml:space="preserve">A </w:t>
      </w:r>
      <w:r w:rsidR="00D735FC">
        <w:rPr>
          <w:rFonts w:ascii="Times New Roman" w:eastAsia="Times New Roman" w:hAnsi="Times New Roman" w:cs="Times New Roman"/>
          <w:sz w:val="24"/>
          <w:szCs w:val="24"/>
        </w:rPr>
        <w:t>data story – as its name suggests</w:t>
      </w:r>
      <w:r w:rsidR="00CD317C" w:rsidRPr="00D735FC">
        <w:rPr>
          <w:rFonts w:ascii="Times New Roman" w:eastAsia="Times New Roman" w:hAnsi="Times New Roman" w:cs="Times New Roman"/>
          <w:sz w:val="24"/>
          <w:szCs w:val="24"/>
        </w:rPr>
        <w:t xml:space="preserve"> – is narrative about a data set with the primary objective of e</w:t>
      </w:r>
      <w:r w:rsidR="00D735FC">
        <w:rPr>
          <w:rFonts w:ascii="Times New Roman" w:eastAsia="Times New Roman" w:hAnsi="Times New Roman" w:cs="Times New Roman"/>
          <w:sz w:val="24"/>
          <w:szCs w:val="24"/>
        </w:rPr>
        <w:t>ducating even as it entertains.  A research team at the University of Florida has initiated a multi-year investigation to study the efficacy of the data story method of instruction to convey foundational statistical and computational concepts to incoming public health and environmental science graduate students.</w:t>
      </w:r>
      <w:r w:rsidR="00B1794B">
        <w:rPr>
          <w:rFonts w:ascii="Times New Roman" w:eastAsia="Times New Roman" w:hAnsi="Times New Roman" w:cs="Times New Roman"/>
          <w:sz w:val="24"/>
          <w:szCs w:val="24"/>
        </w:rPr>
        <w:t xml:space="preserve">  The first part of </w:t>
      </w:r>
      <w:r w:rsidR="00E01604">
        <w:rPr>
          <w:rFonts w:ascii="Times New Roman" w:eastAsia="Times New Roman" w:hAnsi="Times New Roman" w:cs="Times New Roman"/>
          <w:sz w:val="24"/>
          <w:szCs w:val="24"/>
        </w:rPr>
        <w:t xml:space="preserve">the project entails the creation of a </w:t>
      </w:r>
      <w:r w:rsidR="000E3639">
        <w:rPr>
          <w:rFonts w:ascii="Times New Roman" w:eastAsia="Times New Roman" w:hAnsi="Times New Roman" w:cs="Times New Roman"/>
          <w:sz w:val="24"/>
          <w:szCs w:val="24"/>
        </w:rPr>
        <w:t>small number of data story learning experiences.  Once created, the ability of these data stories to engage and motivate students will then be studied in relation to traditional (lecture) methods of instruction.</w:t>
      </w:r>
      <w:r w:rsidR="003B21D4">
        <w:rPr>
          <w:rFonts w:ascii="Times New Roman" w:eastAsia="Times New Roman" w:hAnsi="Times New Roman" w:cs="Times New Roman"/>
          <w:sz w:val="24"/>
          <w:szCs w:val="24"/>
        </w:rPr>
        <w:t xml:space="preserve">  The research team posits that the use of </w:t>
      </w:r>
      <w:r w:rsidR="00327321">
        <w:rPr>
          <w:rFonts w:ascii="Times New Roman" w:eastAsia="Times New Roman" w:hAnsi="Times New Roman" w:cs="Times New Roman"/>
          <w:sz w:val="24"/>
          <w:szCs w:val="24"/>
        </w:rPr>
        <w:t>cartoon</w:t>
      </w:r>
      <w:r w:rsidR="003B21D4">
        <w:rPr>
          <w:rFonts w:ascii="Times New Roman" w:eastAsia="Times New Roman" w:hAnsi="Times New Roman" w:cs="Times New Roman"/>
          <w:sz w:val="24"/>
          <w:szCs w:val="24"/>
        </w:rPr>
        <w:t xml:space="preserve"> characters will arouse a</w:t>
      </w:r>
      <w:r w:rsidR="00823E51">
        <w:rPr>
          <w:rFonts w:ascii="Times New Roman" w:eastAsia="Times New Roman" w:hAnsi="Times New Roman" w:cs="Times New Roman"/>
          <w:sz w:val="24"/>
          <w:szCs w:val="24"/>
        </w:rPr>
        <w:t>n emotional response within</w:t>
      </w:r>
      <w:r w:rsidR="00D768AA">
        <w:rPr>
          <w:rFonts w:ascii="Times New Roman" w:eastAsia="Times New Roman" w:hAnsi="Times New Roman" w:cs="Times New Roman"/>
          <w:sz w:val="24"/>
          <w:szCs w:val="24"/>
        </w:rPr>
        <w:t xml:space="preserve"> the learner, </w:t>
      </w:r>
      <w:r w:rsidR="00FC6067">
        <w:rPr>
          <w:rFonts w:ascii="Times New Roman" w:eastAsia="Times New Roman" w:hAnsi="Times New Roman" w:cs="Times New Roman"/>
          <w:sz w:val="24"/>
          <w:szCs w:val="24"/>
        </w:rPr>
        <w:t xml:space="preserve">one that is </w:t>
      </w:r>
      <w:r w:rsidR="00CB405A">
        <w:rPr>
          <w:rFonts w:ascii="Times New Roman" w:eastAsia="Times New Roman" w:hAnsi="Times New Roman" w:cs="Times New Roman"/>
          <w:sz w:val="24"/>
          <w:szCs w:val="24"/>
        </w:rPr>
        <w:t>strong enough to pull</w:t>
      </w:r>
      <w:r w:rsidR="003B21D4">
        <w:rPr>
          <w:rFonts w:ascii="Times New Roman" w:eastAsia="Times New Roman" w:hAnsi="Times New Roman" w:cs="Times New Roman"/>
          <w:sz w:val="24"/>
          <w:szCs w:val="24"/>
        </w:rPr>
        <w:t xml:space="preserve"> them through the story’</w:t>
      </w:r>
      <w:r w:rsidR="00D169E6">
        <w:rPr>
          <w:rFonts w:ascii="Times New Roman" w:eastAsia="Times New Roman" w:hAnsi="Times New Roman" w:cs="Times New Roman"/>
          <w:sz w:val="24"/>
          <w:szCs w:val="24"/>
        </w:rPr>
        <w:t xml:space="preserve">s narrative arc as well as the </w:t>
      </w:r>
      <w:r w:rsidR="00CB405A">
        <w:rPr>
          <w:rFonts w:ascii="Times New Roman" w:eastAsia="Times New Roman" w:hAnsi="Times New Roman" w:cs="Times New Roman"/>
          <w:sz w:val="24"/>
          <w:szCs w:val="24"/>
        </w:rPr>
        <w:t>associated</w:t>
      </w:r>
      <w:r w:rsidR="00D169E6">
        <w:rPr>
          <w:rFonts w:ascii="Times New Roman" w:eastAsia="Times New Roman" w:hAnsi="Times New Roman" w:cs="Times New Roman"/>
          <w:sz w:val="24"/>
          <w:szCs w:val="24"/>
        </w:rPr>
        <w:t xml:space="preserve"> </w:t>
      </w:r>
      <w:r w:rsidR="00D768AA">
        <w:rPr>
          <w:rFonts w:ascii="Times New Roman" w:eastAsia="Times New Roman" w:hAnsi="Times New Roman" w:cs="Times New Roman"/>
          <w:sz w:val="24"/>
          <w:szCs w:val="24"/>
        </w:rPr>
        <w:t>data science learning activities.</w:t>
      </w:r>
      <w:r w:rsidR="00417C19">
        <w:rPr>
          <w:rFonts w:ascii="Times New Roman" w:eastAsia="Times New Roman" w:hAnsi="Times New Roman" w:cs="Times New Roman"/>
          <w:sz w:val="24"/>
          <w:szCs w:val="24"/>
        </w:rPr>
        <w:t xml:space="preserve">  It is also anticipated that</w:t>
      </w:r>
      <w:r w:rsidR="00F007B5">
        <w:rPr>
          <w:rFonts w:ascii="Times New Roman" w:eastAsia="Times New Roman" w:hAnsi="Times New Roman" w:cs="Times New Roman"/>
          <w:sz w:val="24"/>
          <w:szCs w:val="24"/>
        </w:rPr>
        <w:t xml:space="preserve"> a story-driven pedagogy</w:t>
      </w:r>
      <w:r w:rsidR="00FC6067">
        <w:rPr>
          <w:rFonts w:ascii="Times New Roman" w:eastAsia="Times New Roman" w:hAnsi="Times New Roman" w:cs="Times New Roman"/>
          <w:sz w:val="24"/>
          <w:szCs w:val="24"/>
        </w:rPr>
        <w:t xml:space="preserve"> will </w:t>
      </w:r>
      <w:r w:rsidR="00F007B5">
        <w:rPr>
          <w:rFonts w:ascii="Times New Roman" w:eastAsia="Times New Roman" w:hAnsi="Times New Roman" w:cs="Times New Roman"/>
          <w:sz w:val="24"/>
          <w:szCs w:val="24"/>
        </w:rPr>
        <w:t>contextualize the learning experience to a much greater</w:t>
      </w:r>
      <w:r w:rsidR="00AF7795">
        <w:rPr>
          <w:rFonts w:ascii="Times New Roman" w:eastAsia="Times New Roman" w:hAnsi="Times New Roman" w:cs="Times New Roman"/>
          <w:sz w:val="24"/>
          <w:szCs w:val="24"/>
        </w:rPr>
        <w:t xml:space="preserve"> extent, </w:t>
      </w:r>
      <w:r w:rsidR="00CD413A">
        <w:rPr>
          <w:rFonts w:ascii="Times New Roman" w:eastAsia="Times New Roman" w:hAnsi="Times New Roman" w:cs="Times New Roman"/>
          <w:sz w:val="24"/>
          <w:szCs w:val="24"/>
        </w:rPr>
        <w:t xml:space="preserve">helping the learner make </w:t>
      </w:r>
      <w:r w:rsidR="00AF7795">
        <w:rPr>
          <w:rFonts w:ascii="Times New Roman" w:eastAsia="Times New Roman" w:hAnsi="Times New Roman" w:cs="Times New Roman"/>
          <w:sz w:val="24"/>
          <w:szCs w:val="24"/>
        </w:rPr>
        <w:t>connect</w:t>
      </w:r>
      <w:r w:rsidR="006A134E">
        <w:rPr>
          <w:rFonts w:ascii="Times New Roman" w:eastAsia="Times New Roman" w:hAnsi="Times New Roman" w:cs="Times New Roman"/>
          <w:sz w:val="24"/>
          <w:szCs w:val="24"/>
        </w:rPr>
        <w:t>ion</w:t>
      </w:r>
      <w:r w:rsidR="00CD413A">
        <w:rPr>
          <w:rFonts w:ascii="Times New Roman" w:eastAsia="Times New Roman" w:hAnsi="Times New Roman" w:cs="Times New Roman"/>
          <w:sz w:val="24"/>
          <w:szCs w:val="24"/>
        </w:rPr>
        <w:t>s</w:t>
      </w:r>
      <w:r w:rsidR="006A134E">
        <w:rPr>
          <w:rFonts w:ascii="Times New Roman" w:eastAsia="Times New Roman" w:hAnsi="Times New Roman" w:cs="Times New Roman"/>
          <w:sz w:val="24"/>
          <w:szCs w:val="24"/>
        </w:rPr>
        <w:t xml:space="preserve"> between </w:t>
      </w:r>
      <w:r w:rsidR="00B548C7">
        <w:rPr>
          <w:rFonts w:ascii="Times New Roman" w:eastAsia="Times New Roman" w:hAnsi="Times New Roman" w:cs="Times New Roman"/>
          <w:sz w:val="24"/>
          <w:szCs w:val="24"/>
        </w:rPr>
        <w:t>abstract</w:t>
      </w:r>
      <w:r w:rsidR="00CD413A">
        <w:rPr>
          <w:rFonts w:ascii="Times New Roman" w:eastAsia="Times New Roman" w:hAnsi="Times New Roman" w:cs="Times New Roman"/>
          <w:sz w:val="24"/>
          <w:szCs w:val="24"/>
        </w:rPr>
        <w:t xml:space="preserve"> data</w:t>
      </w:r>
      <w:r w:rsidR="00387390">
        <w:rPr>
          <w:rFonts w:ascii="Times New Roman" w:eastAsia="Times New Roman" w:hAnsi="Times New Roman" w:cs="Times New Roman"/>
          <w:sz w:val="24"/>
          <w:szCs w:val="24"/>
        </w:rPr>
        <w:t xml:space="preserve"> science</w:t>
      </w:r>
      <w:r w:rsidR="00B548C7">
        <w:rPr>
          <w:rFonts w:ascii="Times New Roman" w:eastAsia="Times New Roman" w:hAnsi="Times New Roman" w:cs="Times New Roman"/>
          <w:sz w:val="24"/>
          <w:szCs w:val="24"/>
        </w:rPr>
        <w:t xml:space="preserve"> concepts </w:t>
      </w:r>
      <w:r w:rsidR="006A134E">
        <w:rPr>
          <w:rFonts w:ascii="Times New Roman" w:eastAsia="Times New Roman" w:hAnsi="Times New Roman" w:cs="Times New Roman"/>
          <w:sz w:val="24"/>
          <w:szCs w:val="24"/>
        </w:rPr>
        <w:t>and pressing problems in the real world.</w:t>
      </w:r>
      <w:r w:rsidR="00327321">
        <w:rPr>
          <w:rFonts w:ascii="Times New Roman" w:eastAsia="Times New Roman" w:hAnsi="Times New Roman" w:cs="Times New Roman"/>
          <w:sz w:val="24"/>
          <w:szCs w:val="24"/>
        </w:rPr>
        <w:t xml:space="preserve">  </w:t>
      </w:r>
      <w:r w:rsidR="00461D5E">
        <w:rPr>
          <w:rFonts w:ascii="Times New Roman" w:eastAsia="Times New Roman" w:hAnsi="Times New Roman" w:cs="Times New Roman"/>
          <w:sz w:val="24"/>
          <w:szCs w:val="24"/>
        </w:rPr>
        <w:t xml:space="preserve"> </w:t>
      </w:r>
    </w:p>
    <w:p w14:paraId="0B5A82A2" w14:textId="77777777" w:rsidR="00B42ADB" w:rsidRDefault="00B42ADB">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727006D3" w14:textId="77777777"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14:paraId="4EC2D013" w14:textId="77777777" w:rsidR="00007584" w:rsidRPr="00606D67" w:rsidRDefault="00007584" w:rsidP="00DE402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case-studies into their curricula some 100 years ago.  The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14:paraId="22B559D2" w14:textId="77777777" w:rsidR="00007584" w:rsidRPr="00606D67" w:rsidRDefault="00007584" w:rsidP="00DE4028">
      <w:pPr>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The practice of data science in the clinical sciences has some unique features that create an ideal environment for a story infused pedagogy.  For example, data analysis in the clinical and translational sciences is concrete</w:t>
      </w:r>
      <w:r w:rsidR="00BF2E4D">
        <w:rPr>
          <w:rFonts w:ascii="Times New Roman" w:hAnsi="Times New Roman" w:cs="Times New Roman"/>
          <w:sz w:val="24"/>
          <w:szCs w:val="24"/>
        </w:rPr>
        <w:t xml:space="preserve"> and </w:t>
      </w:r>
      <w:r w:rsidRPr="00606D67">
        <w:rPr>
          <w:rFonts w:ascii="Times New Roman" w:hAnsi="Times New Roman" w:cs="Times New Roman"/>
          <w:sz w:val="24"/>
          <w:szCs w:val="24"/>
        </w:rPr>
        <w:t xml:space="preserve">embedded in the real world.  This stands in contrast to statistics, math, and computer science where the focus is more abstract.  In these fields, data science is largely about constructing and fitting models.  Clinical data, on the other hand, is often messy and contradictory, abhorring generalizations and abstraction.  While abstraction can help to </w:t>
      </w:r>
      <w:r w:rsidRPr="00606D67">
        <w:rPr>
          <w:rFonts w:ascii="Times New Roman" w:eastAsia="Times New Roman" w:hAnsi="Times New Roman" w:cs="Times New Roman"/>
          <w:sz w:val="24"/>
          <w:szCs w:val="24"/>
        </w:rPr>
        <w:t xml:space="preserve">formulate a problem, it is an appreciation for the complexity of clinical research and an appreciation that exceptions can be nearly as important as rules that are required of computational scientists working in this field.  A data-driven approach to learning informed by messy data and interesting research questions – the way concepts are presented in data stories – aligns well with the realities of data analysis in precision </w:t>
      </w:r>
      <w:r w:rsidR="00097774">
        <w:rPr>
          <w:rFonts w:ascii="Times New Roman" w:eastAsia="Times New Roman" w:hAnsi="Times New Roman" w:cs="Times New Roman"/>
          <w:sz w:val="24"/>
          <w:szCs w:val="24"/>
        </w:rPr>
        <w:t xml:space="preserve">medicine and </w:t>
      </w:r>
      <w:r w:rsidRPr="00606D67">
        <w:rPr>
          <w:rFonts w:ascii="Times New Roman" w:eastAsia="Times New Roman" w:hAnsi="Times New Roman" w:cs="Times New Roman"/>
          <w:sz w:val="24"/>
          <w:szCs w:val="24"/>
        </w:rPr>
        <w:t>public health.</w:t>
      </w:r>
    </w:p>
    <w:p w14:paraId="22439CDD"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data stories share many commonalities with case-studies – content in both, for example, is packaged in a story container or narrative arc – there are important differences as well.  With data stories, the focus shifts to data analysis and/or the acquisition of the requisite technical skills to </w:t>
      </w:r>
      <w:r w:rsidRPr="00606D67">
        <w:rPr>
          <w:rFonts w:ascii="Times New Roman" w:eastAsia="Times New Roman" w:hAnsi="Times New Roman" w:cs="Times New Roman"/>
          <w:b/>
          <w:sz w:val="24"/>
          <w:szCs w:val="24"/>
        </w:rPr>
        <w:t>do</w:t>
      </w:r>
      <w:r w:rsidRPr="00606D67">
        <w:rPr>
          <w:rFonts w:ascii="Times New Roman" w:eastAsia="Times New Roman" w:hAnsi="Times New Roman" w:cs="Times New Roman"/>
          <w:sz w:val="24"/>
          <w:szCs w:val="24"/>
        </w:rPr>
        <w:t xml:space="preserve"> data analysis.  This is not the situation with case-studies where data may be present but is rarely the focus.  </w:t>
      </w:r>
    </w:p>
    <w:p w14:paraId="16E5A061"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data stories that distinguishes them from the traditional case-study.  The case-studies featured at the National Center for Case Study Teaching in Science website, for example, are offered in static containers – MS Word, PowerPoint, or Adobe.  The data stories created as part of this project, on the other hand, will be developed with open source tools such as </w:t>
      </w:r>
      <w:hyperlink r:id="rId6"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7"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Study participants will not need to have any prior programming experience.  In addition to a mini-course, participants will be given access to existing introductory R, Python and statistics </w:t>
      </w:r>
      <w:hyperlink r:id="rId8" w:history="1">
        <w:r w:rsidRPr="00606D67">
          <w:rPr>
            <w:rStyle w:val="Hyperlink"/>
            <w:rFonts w:ascii="Times New Roman" w:eastAsia="Times New Roman" w:hAnsi="Times New Roman" w:cs="Times New Roman"/>
            <w:sz w:val="24"/>
            <w:szCs w:val="24"/>
          </w:rPr>
          <w:t>MyDataStory</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classes.</w:t>
      </w:r>
    </w:p>
    <w:p w14:paraId="024677C4"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His articles and edited volumes are indispensable and provide a practical introduction to the art of case-study construction and teaching.  The center’s website features some 778 case-studies available to registered faculty.</w:t>
      </w:r>
    </w:p>
    <w:p w14:paraId="646D5B77" w14:textId="77777777" w:rsidR="00287FFD"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 xml:space="preserve">By contrast, studies that have examined the effectiveness of the case-study method in life science settings are minimal.  Even fewer studies have attempted to understand when, how, and why case-studies work from a student perspective.  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The research team anticipates that the data story instructional method will result in positive results, similar to those just reported. </w:t>
      </w:r>
    </w:p>
    <w:p w14:paraId="03B0C271" w14:textId="16C52B14" w:rsidR="004D46AD" w:rsidRDefault="00287FFD" w:rsidP="00757395">
      <w:pPr>
        <w:spacing w:after="0"/>
        <w:ind w:firstLine="576"/>
        <w:rPr>
          <w:rFonts w:ascii="Times New Roman" w:hAnsi="Times New Roman" w:cs="Times New Roman"/>
          <w:color w:val="365F91" w:themeColor="accent1" w:themeShade="BF"/>
          <w:sz w:val="24"/>
          <w:szCs w:val="24"/>
        </w:rPr>
      </w:pPr>
      <w:r w:rsidRPr="004D46AD">
        <w:rPr>
          <w:rFonts w:ascii="Times New Roman" w:hAnsi="Times New Roman" w:cs="Times New Roman"/>
          <w:color w:val="365F91" w:themeColor="accent1" w:themeShade="BF"/>
          <w:sz w:val="24"/>
          <w:szCs w:val="24"/>
        </w:rPr>
        <w:t xml:space="preserve">The question of the motivational efficacy of the data story lies at the heart of the research reported </w:t>
      </w:r>
      <w:r w:rsidR="008A42C6" w:rsidRPr="004D46AD">
        <w:rPr>
          <w:rFonts w:ascii="Times New Roman" w:hAnsi="Times New Roman" w:cs="Times New Roman"/>
          <w:color w:val="365F91" w:themeColor="accent1" w:themeShade="BF"/>
          <w:sz w:val="24"/>
          <w:szCs w:val="24"/>
        </w:rPr>
        <w:t>in this article</w:t>
      </w:r>
      <w:r w:rsidRPr="004D46AD">
        <w:rPr>
          <w:rFonts w:ascii="Times New Roman" w:hAnsi="Times New Roman" w:cs="Times New Roman"/>
          <w:color w:val="365F91" w:themeColor="accent1" w:themeShade="BF"/>
          <w:sz w:val="24"/>
          <w:szCs w:val="24"/>
        </w:rPr>
        <w:t xml:space="preserve">.  Educators have long recognized that motivation and engagement are </w:t>
      </w:r>
      <w:r w:rsidR="008A42C6" w:rsidRPr="004D46AD">
        <w:rPr>
          <w:rFonts w:ascii="Times New Roman" w:hAnsi="Times New Roman" w:cs="Times New Roman"/>
          <w:color w:val="365F91" w:themeColor="accent1" w:themeShade="BF"/>
          <w:sz w:val="24"/>
          <w:szCs w:val="24"/>
        </w:rPr>
        <w:t>key driv</w:t>
      </w:r>
      <w:r w:rsidR="004D46AD" w:rsidRPr="004D46AD">
        <w:rPr>
          <w:rFonts w:ascii="Times New Roman" w:hAnsi="Times New Roman" w:cs="Times New Roman"/>
          <w:color w:val="365F91" w:themeColor="accent1" w:themeShade="BF"/>
          <w:sz w:val="24"/>
          <w:szCs w:val="24"/>
        </w:rPr>
        <w:t xml:space="preserve">ers of student learning.  </w:t>
      </w:r>
      <w:r w:rsidR="00F31988" w:rsidRPr="004D46AD">
        <w:rPr>
          <w:rFonts w:ascii="Times New Roman" w:hAnsi="Times New Roman" w:cs="Times New Roman"/>
          <w:color w:val="365F91" w:themeColor="accent1" w:themeShade="BF"/>
          <w:sz w:val="24"/>
          <w:szCs w:val="24"/>
        </w:rPr>
        <w:t xml:space="preserve">Achieving either, however, </w:t>
      </w:r>
      <w:r w:rsidR="00FF50B1" w:rsidRPr="004D46AD">
        <w:rPr>
          <w:rFonts w:ascii="Times New Roman" w:hAnsi="Times New Roman" w:cs="Times New Roman"/>
          <w:color w:val="365F91" w:themeColor="accent1" w:themeShade="BF"/>
          <w:sz w:val="24"/>
          <w:szCs w:val="24"/>
        </w:rPr>
        <w:t>entails</w:t>
      </w:r>
      <w:r w:rsidR="00F31988" w:rsidRPr="004D46AD">
        <w:rPr>
          <w:rFonts w:ascii="Times New Roman" w:hAnsi="Times New Roman" w:cs="Times New Roman"/>
          <w:color w:val="365F91" w:themeColor="accent1" w:themeShade="BF"/>
          <w:sz w:val="24"/>
          <w:szCs w:val="24"/>
        </w:rPr>
        <w:t xml:space="preserve"> </w:t>
      </w:r>
      <w:r w:rsidR="00151D25" w:rsidRPr="004D46AD">
        <w:rPr>
          <w:rFonts w:ascii="Times New Roman" w:hAnsi="Times New Roman" w:cs="Times New Roman"/>
          <w:color w:val="365F91" w:themeColor="accent1" w:themeShade="BF"/>
          <w:sz w:val="24"/>
          <w:szCs w:val="24"/>
        </w:rPr>
        <w:t xml:space="preserve">some </w:t>
      </w:r>
      <w:r w:rsidR="00763204" w:rsidRPr="004D46AD">
        <w:rPr>
          <w:rFonts w:ascii="Times New Roman" w:hAnsi="Times New Roman" w:cs="Times New Roman"/>
          <w:color w:val="365F91" w:themeColor="accent1" w:themeShade="BF"/>
          <w:sz w:val="24"/>
          <w:szCs w:val="24"/>
        </w:rPr>
        <w:t xml:space="preserve">level of </w:t>
      </w:r>
      <w:r w:rsidR="00FF50B1" w:rsidRPr="004D46AD">
        <w:rPr>
          <w:rFonts w:ascii="Times New Roman" w:hAnsi="Times New Roman" w:cs="Times New Roman"/>
          <w:color w:val="365F91" w:themeColor="accent1" w:themeShade="BF"/>
          <w:sz w:val="24"/>
          <w:szCs w:val="24"/>
        </w:rPr>
        <w:t>emotional involvement</w:t>
      </w:r>
      <w:r w:rsidR="003E47C7" w:rsidRPr="004D46AD">
        <w:rPr>
          <w:rFonts w:ascii="Times New Roman" w:hAnsi="Times New Roman" w:cs="Times New Roman"/>
          <w:color w:val="365F91" w:themeColor="accent1" w:themeShade="BF"/>
          <w:sz w:val="24"/>
          <w:szCs w:val="24"/>
        </w:rPr>
        <w:t xml:space="preserve"> on the part of the student.  </w:t>
      </w:r>
      <w:bookmarkStart w:id="0" w:name="_GoBack"/>
      <w:bookmarkEnd w:id="0"/>
    </w:p>
    <w:p w14:paraId="66FF5209" w14:textId="4ABEDE79" w:rsidR="00A56DA8" w:rsidRDefault="004D46AD" w:rsidP="00757395">
      <w:pPr>
        <w:spacing w:after="0"/>
        <w:ind w:firstLine="576"/>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 xml:space="preserve">At </w:t>
      </w:r>
      <w:r w:rsidR="001C5643">
        <w:rPr>
          <w:rFonts w:ascii="Times New Roman" w:hAnsi="Times New Roman" w:cs="Times New Roman"/>
          <w:color w:val="365F91" w:themeColor="accent1" w:themeShade="BF"/>
          <w:sz w:val="24"/>
          <w:szCs w:val="24"/>
        </w:rPr>
        <w:t>the neurological</w:t>
      </w:r>
      <w:r>
        <w:rPr>
          <w:rFonts w:ascii="Times New Roman" w:hAnsi="Times New Roman" w:cs="Times New Roman"/>
          <w:color w:val="365F91" w:themeColor="accent1" w:themeShade="BF"/>
          <w:sz w:val="24"/>
          <w:szCs w:val="24"/>
        </w:rPr>
        <w:t xml:space="preserve"> level, Richter-Levin and Akirav (2003) have advanced the Emotional Tagging concept</w:t>
      </w:r>
      <w:r w:rsidR="00A56DA8">
        <w:rPr>
          <w:rFonts w:ascii="Times New Roman" w:hAnsi="Times New Roman" w:cs="Times New Roman"/>
          <w:color w:val="365F91" w:themeColor="accent1" w:themeShade="BF"/>
          <w:sz w:val="24"/>
          <w:szCs w:val="24"/>
        </w:rPr>
        <w:t>.  They suggest that the “amygdala ‘marks’ an emotionally charged experience as important by strengthening of synapses located on neurons that have just been activated in another brain-memory system engaged in the learning situation” (p. 248).</w:t>
      </w:r>
    </w:p>
    <w:p w14:paraId="17699E5A" w14:textId="49ECA6BB" w:rsidR="00C234FB" w:rsidRDefault="00C234FB" w:rsidP="00757395">
      <w:pPr>
        <w:spacing w:after="0"/>
        <w:ind w:firstLine="576"/>
        <w:rPr>
          <w:rFonts w:ascii="Times New Roman" w:hAnsi="Times New Roman" w:cs="Times New Roman"/>
          <w:color w:val="365F91" w:themeColor="accent1" w:themeShade="BF"/>
          <w:sz w:val="24"/>
          <w:szCs w:val="24"/>
        </w:rPr>
      </w:pPr>
      <w:r w:rsidRPr="004D46AD">
        <w:rPr>
          <w:rFonts w:ascii="Times New Roman" w:hAnsi="Times New Roman" w:cs="Times New Roman"/>
          <w:color w:val="365F91" w:themeColor="accent1" w:themeShade="BF"/>
          <w:sz w:val="24"/>
          <w:szCs w:val="24"/>
        </w:rPr>
        <w:t>Indeed, the importance of emotion in the learning process has received increasing attention in the literature (Herreid et al. 2014).</w:t>
      </w:r>
      <w:r>
        <w:rPr>
          <w:rFonts w:ascii="Times New Roman" w:hAnsi="Times New Roman" w:cs="Times New Roman"/>
          <w:color w:val="365F91" w:themeColor="accent1" w:themeShade="BF"/>
          <w:sz w:val="24"/>
          <w:szCs w:val="24"/>
        </w:rPr>
        <w:t xml:space="preserve">  </w:t>
      </w:r>
    </w:p>
    <w:p w14:paraId="19427086" w14:textId="77777777" w:rsidR="00A56DA8" w:rsidRDefault="00A56DA8" w:rsidP="00757395">
      <w:pPr>
        <w:spacing w:after="0"/>
        <w:ind w:firstLine="576"/>
        <w:rPr>
          <w:rFonts w:ascii="Times New Roman" w:hAnsi="Times New Roman" w:cs="Times New Roman"/>
          <w:color w:val="365F91" w:themeColor="accent1" w:themeShade="BF"/>
          <w:sz w:val="24"/>
          <w:szCs w:val="24"/>
        </w:rPr>
      </w:pPr>
    </w:p>
    <w:p w14:paraId="7CCE7833" w14:textId="77777777" w:rsidR="004D46AD" w:rsidRPr="004D46AD" w:rsidRDefault="004D46AD" w:rsidP="00757395">
      <w:pPr>
        <w:spacing w:after="0"/>
        <w:ind w:firstLine="576"/>
        <w:rPr>
          <w:rFonts w:ascii="Times New Roman" w:hAnsi="Times New Roman" w:cs="Times New Roman"/>
          <w:color w:val="365F91" w:themeColor="accent1" w:themeShade="BF"/>
          <w:sz w:val="24"/>
          <w:szCs w:val="24"/>
        </w:rPr>
      </w:pPr>
    </w:p>
    <w:p w14:paraId="7F6E335F" w14:textId="77777777"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14:paraId="41B5CD9B" w14:textId="77777777" w:rsidR="00007584" w:rsidRPr="00606D67"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 </w:t>
      </w:r>
    </w:p>
    <w:p w14:paraId="769D8427"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Significance</w:t>
      </w:r>
    </w:p>
    <w:p w14:paraId="13E3CC00" w14:textId="77777777" w:rsidR="00007584" w:rsidRPr="00606D67" w:rsidRDefault="00007584" w:rsidP="00606D67">
      <w:pPr>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The long-term importance of this proposal lies in two dimensions; a) the development of a clinical data story community, and b) the data story as a new and innovative way to impart scientific concepts and issues to clinical translational science professionals.  Writing for </w:t>
      </w:r>
      <w:r w:rsidRPr="00606D67">
        <w:rPr>
          <w:rFonts w:ascii="Times New Roman" w:eastAsia="Times New Roman" w:hAnsi="Times New Roman" w:cs="Times New Roman"/>
          <w:i/>
          <w:sz w:val="24"/>
          <w:szCs w:val="24"/>
        </w:rPr>
        <w:t>Nature</w:t>
      </w:r>
      <w:r w:rsidRPr="00606D67">
        <w:rPr>
          <w:rFonts w:ascii="Times New Roman" w:eastAsia="Times New Roman" w:hAnsi="Times New Roman" w:cs="Times New Roman"/>
          <w:sz w:val="24"/>
          <w:szCs w:val="24"/>
        </w:rPr>
        <w:t xml:space="preserve">, Vivien Marx (2013) details the big data challenges facing the life sciences, biology in particular.  She writes, “Data mountains and analysis are altering the way science progresses, and breeding biologists who get neither their feet nor their hands wet” (p. 260).  Hey, Tansley, and Tolle (2009) argue that science is undergoing a </w:t>
      </w:r>
      <w:r w:rsidRPr="00606D67">
        <w:rPr>
          <w:rFonts w:ascii="Times New Roman" w:eastAsia="Times New Roman" w:hAnsi="Times New Roman" w:cs="Times New Roman"/>
          <w:i/>
          <w:sz w:val="24"/>
          <w:szCs w:val="24"/>
        </w:rPr>
        <w:t>paradigm shift</w:t>
      </w:r>
      <w:r w:rsidRPr="00606D67">
        <w:rPr>
          <w:rFonts w:ascii="Times New Roman" w:eastAsia="Times New Roman" w:hAnsi="Times New Roman" w:cs="Times New Roman"/>
          <w:sz w:val="24"/>
          <w:szCs w:val="24"/>
        </w:rPr>
        <w:t xml:space="preserve">.  If so, then the larger question of how to educate a generation of data-savvy public health professionals capable of navigating this shift is </w:t>
      </w:r>
      <w:r w:rsidRPr="00606D67">
        <w:rPr>
          <w:rFonts w:ascii="Times New Roman" w:eastAsia="Times New Roman" w:hAnsi="Times New Roman" w:cs="Times New Roman"/>
          <w:sz w:val="24"/>
          <w:szCs w:val="24"/>
          <w:u w:val="single"/>
        </w:rPr>
        <w:t>truly significant</w:t>
      </w:r>
      <w:r w:rsidRPr="00606D67">
        <w:rPr>
          <w:rFonts w:ascii="Times New Roman" w:eastAsia="Times New Roman" w:hAnsi="Times New Roman" w:cs="Times New Roman"/>
          <w:sz w:val="24"/>
          <w:szCs w:val="24"/>
        </w:rPr>
        <w:t>.</w:t>
      </w:r>
    </w:p>
    <w:p w14:paraId="2515CAFB"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Innovation/Potential Impact</w:t>
      </w:r>
    </w:p>
    <w:p w14:paraId="5018D4C0" w14:textId="77777777" w:rsidR="00007584" w:rsidRPr="00606D67" w:rsidRDefault="00007584" w:rsidP="00794AFB">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As noted earlier, the data story is a pedagogical innovation that shares many similarities with the case-study method of instruction.  The data story, however, has unique properties which distinguish it from similar approaches.  These unique properties – a high level of interactivity, for example – creates new ways to engage students and impact learning outcomes.</w:t>
      </w:r>
    </w:p>
    <w:p w14:paraId="63A6B439" w14:textId="77777777" w:rsidR="00007584" w:rsidRPr="00606D67"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 data story approach to precision public health education is likely to improve student technical and communication skills.  A pedagogical approach grounded in stories also allows CTS professionals to develop and practice emerging skills in the context of topics that are both more engaging and relatable than the abstract examples typically employed in technical education settings.  And finally – rather than present technical skills in isolation – the “data story” approach enables learners to understand how these skills can be jointly used to solve a particular problem while also, due to the availability of the auxiliary material, enabling skills to be more thoroughly learned on demand.   As well, data stories will lend themselves to being translational vectors. That is, the inherent accessibility of data stories makes them an ideal choice for delivering multimedia prevention and intervention messages to a broader audience, including patients, journalists, and science communication professionals in related fields.</w:t>
      </w:r>
    </w:p>
    <w:p w14:paraId="0D5CCCD2" w14:textId="77777777" w:rsidR="00007584"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This is a new and unexplored line of pedagogical inquiry.  The College of Pharmacy’s Video Production Services Department will be an ideal partner, assisting the research team in its exploration of innovative ways to communicate complex data science concepts and ideas.  The department is a proven innovator, having pioneered the development and use of explanatory and interactive videos across campus. </w:t>
      </w:r>
    </w:p>
    <w:p w14:paraId="3C2A4D29" w14:textId="77777777" w:rsidR="00097774" w:rsidRPr="00606D67" w:rsidRDefault="00097774" w:rsidP="00097774">
      <w:pPr>
        <w:spacing w:after="0"/>
        <w:ind w:firstLine="576"/>
        <w:rPr>
          <w:rFonts w:ascii="Times New Roman" w:hAnsi="Times New Roman" w:cs="Times New Roman"/>
          <w:sz w:val="24"/>
          <w:szCs w:val="24"/>
        </w:rPr>
      </w:pPr>
    </w:p>
    <w:p w14:paraId="3DDEF290"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Preliminary Studies</w:t>
      </w:r>
    </w:p>
    <w:p w14:paraId="2D0C61E5"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A second research team, led by the PI, has already begun to assess the impact of the data story method of instruction.  The team has been meeting bi-weekly for the past six months to advance this initiative and discuss findings.  The findings so far have been positive, though anecdotal.  For example, the PI on this proposal taught an online class (MCB4934 -Data Storytelling in R) for the Microbiology and Cell Science Department.  Student response was overwhelmingly positive.  Additionally, data story modules have been tested in the graduate-level course STA6093 (Introduction to Applied Statistics for Agriculture and Life Sciences), taught by Denis Valle, and the undergraduate-level course BSC2891 (Python Programming for Biology), taught by Bryan Kolaczkowski.  Both STA6093 and BSC2891 are fully online, and enrollment often exceeds 100 and 200 students per semester for STA6093 and BSC2891, respectively.  Both are foundational courses for life-science students at UF that introduce basic data science concepts through in-depth interaction with a variety of datasets.</w:t>
      </w:r>
    </w:p>
    <w:p w14:paraId="4F145107"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14:paraId="59755448" w14:textId="77777777"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w:t>
      </w:r>
      <w:r w:rsidR="00B630B5">
        <w:rPr>
          <w:rFonts w:ascii="Times New Roman" w:eastAsia="Times New Roman" w:hAnsi="Times New Roman" w:cs="Times New Roman"/>
          <w:sz w:val="24"/>
          <w:szCs w:val="24"/>
        </w:rPr>
        <w:lastRenderedPageBreak/>
        <w:t xml:space="preserve">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14:paraId="052F26BA" w14:textId="77777777"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(These questions are directly linked to objective one in the </w:t>
      </w:r>
      <w:r w:rsidRPr="00606D67">
        <w:rPr>
          <w:rFonts w:ascii="Times New Roman" w:eastAsia="Times New Roman" w:hAnsi="Times New Roman" w:cs="Times New Roman"/>
          <w:i/>
          <w:sz w:val="24"/>
          <w:szCs w:val="24"/>
        </w:rPr>
        <w:t>Specific Aims/Objectives</w:t>
      </w:r>
      <w:r w:rsidRPr="00606D67">
        <w:rPr>
          <w:rFonts w:ascii="Times New Roman" w:eastAsia="Times New Roman" w:hAnsi="Times New Roman" w:cs="Times New Roman"/>
          <w:sz w:val="24"/>
          <w:szCs w:val="24"/>
        </w:rPr>
        <w:t xml:space="preserve"> section – Research the Efficacy of the Data Story as a Precision Public Health Learning Tool.)</w:t>
      </w:r>
    </w:p>
    <w:p w14:paraId="7CED5581" w14:textId="77777777" w:rsidR="00007584" w:rsidRPr="00606D67" w:rsidRDefault="00007584" w:rsidP="00007584">
      <w:pPr>
        <w:pStyle w:val="ListParagraph"/>
        <w:ind w:left="360"/>
        <w:rPr>
          <w:rFonts w:ascii="Times New Roman" w:hAnsi="Times New Roman" w:cs="Times New Roman"/>
          <w:sz w:val="24"/>
          <w:szCs w:val="24"/>
        </w:rPr>
      </w:pPr>
    </w:p>
    <w:p w14:paraId="37F62EF3" w14:textId="77777777" w:rsidR="00007584" w:rsidRDefault="00007584" w:rsidP="00007584">
      <w:pPr>
        <w:pStyle w:val="ListParagraph"/>
        <w:numPr>
          <w:ilvl w:val="0"/>
          <w:numId w:val="4"/>
        </w:numPr>
        <w:spacing w:after="0" w:line="240" w:lineRule="auto"/>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What features of a data story approach elicit the necessary thinking processes to understand precision public health issues and concepts?</w:t>
      </w:r>
    </w:p>
    <w:p w14:paraId="7A73E821" w14:textId="77777777" w:rsidR="00DD7809" w:rsidRPr="00606D67" w:rsidRDefault="00DD7809" w:rsidP="00DD7809">
      <w:pPr>
        <w:pStyle w:val="ListParagraph"/>
        <w:spacing w:after="0" w:line="240" w:lineRule="auto"/>
        <w:rPr>
          <w:rFonts w:ascii="Times New Roman" w:eastAsia="Times New Roman" w:hAnsi="Times New Roman" w:cs="Times New Roman"/>
          <w:sz w:val="24"/>
          <w:szCs w:val="24"/>
        </w:rPr>
      </w:pPr>
    </w:p>
    <w:p w14:paraId="4B9D419C"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appeal to wide and diverse audiences?</w:t>
      </w:r>
    </w:p>
    <w:p w14:paraId="6AEACED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Are students motivated to a greater degree when content is delivered in a story?</w:t>
      </w:r>
    </w:p>
    <w:p w14:paraId="4D0D1D43"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activate foundational reasoning processes?</w:t>
      </w:r>
    </w:p>
    <w:p w14:paraId="0B287E9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defines the experiences of students with the data story approach and how does a student’s academic and cultural background impact that experience?</w:t>
      </w:r>
    </w:p>
    <w:p w14:paraId="2B8C316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features of the learning environment support positive student experiences with the data story instructional method and elicit the necessary thinking processes for understanding data science?</w:t>
      </w:r>
    </w:p>
    <w:p w14:paraId="3C4F32A0"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usable is the data story method of instruction at imparting clinical translational to the research workforce?</w:t>
      </w:r>
    </w:p>
    <w:p w14:paraId="4555FC8A"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usability factors ought to inform the creation of data story learning experiences?</w:t>
      </w:r>
    </w:p>
    <w:p w14:paraId="0EC620DD" w14:textId="77777777" w:rsidR="00007584" w:rsidRPr="00606D67" w:rsidRDefault="00007584" w:rsidP="00007584">
      <w:pPr>
        <w:pStyle w:val="ListParagraph"/>
        <w:ind w:left="1080"/>
        <w:rPr>
          <w:rFonts w:ascii="Times New Roman" w:hAnsi="Times New Roman" w:cs="Times New Roman"/>
          <w:sz w:val="24"/>
          <w:szCs w:val="24"/>
        </w:rPr>
      </w:pPr>
    </w:p>
    <w:p w14:paraId="61E772E2" w14:textId="77777777" w:rsidR="00007584" w:rsidRPr="00606D67" w:rsidRDefault="00007584" w:rsidP="0000758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14:paraId="072F3593" w14:textId="77777777"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9"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 xml:space="preserve">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w:t>
      </w:r>
      <w:r w:rsidRPr="00606D67">
        <w:rPr>
          <w:rFonts w:ascii="Times New Roman" w:hAnsi="Times New Roman" w:cs="Times New Roman"/>
          <w:sz w:val="24"/>
          <w:szCs w:val="24"/>
        </w:rPr>
        <w:lastRenderedPageBreak/>
        <w:t>The goals for usability testing will include: a) participant’s perspective on usefulness, satisfaction and ease-of use, and b) usability issues (e.g., problematic behaviors, frustration, misinterpretations). We will use pre and post surveys and interviews to analyze study participant expectations and how these goals and expectations are met as a result of the data story way of instruction.</w:t>
      </w:r>
    </w:p>
    <w:p w14:paraId="39270A57" w14:textId="77777777" w:rsidR="000716EB" w:rsidRDefault="000716EB">
      <w:pPr>
        <w:rPr>
          <w:rFonts w:ascii="Times New Roman" w:hAnsi="Times New Roman" w:cs="Times New Roman"/>
          <w:i/>
          <w:sz w:val="24"/>
          <w:szCs w:val="24"/>
        </w:rPr>
      </w:pPr>
      <w:r>
        <w:rPr>
          <w:rFonts w:ascii="Times New Roman" w:hAnsi="Times New Roman" w:cs="Times New Roman"/>
          <w:i/>
          <w:sz w:val="24"/>
          <w:szCs w:val="24"/>
        </w:rPr>
        <w:br w:type="page"/>
      </w:r>
    </w:p>
    <w:p w14:paraId="29C47F74" w14:textId="77777777" w:rsidR="00007584" w:rsidRPr="00606D67" w:rsidRDefault="00007584" w:rsidP="000716EB">
      <w:pPr>
        <w:spacing w:after="0" w:line="240" w:lineRule="auto"/>
        <w:rPr>
          <w:rFonts w:ascii="Times New Roman" w:hAnsi="Times New Roman" w:cs="Times New Roman"/>
          <w:i/>
          <w:sz w:val="24"/>
          <w:szCs w:val="24"/>
        </w:rPr>
      </w:pPr>
      <w:r w:rsidRPr="00606D67">
        <w:rPr>
          <w:rFonts w:ascii="Times New Roman" w:hAnsi="Times New Roman" w:cs="Times New Roman"/>
          <w:i/>
          <w:sz w:val="24"/>
          <w:szCs w:val="24"/>
        </w:rPr>
        <w:lastRenderedPageBreak/>
        <w:t>Research Protocol</w:t>
      </w:r>
    </w:p>
    <w:p w14:paraId="725A426E" w14:textId="77777777" w:rsidR="00007584" w:rsidRPr="00606D67" w:rsidRDefault="00007584" w:rsidP="00007584">
      <w:pPr>
        <w:rPr>
          <w:rFonts w:ascii="Times New Roman" w:hAnsi="Times New Roman" w:cs="Times New Roman"/>
          <w:color w:val="632423" w:themeColor="accent2" w:themeShade="80"/>
          <w:sz w:val="24"/>
          <w:szCs w:val="24"/>
        </w:rPr>
      </w:pPr>
    </w:p>
    <w:tbl>
      <w:tblPr>
        <w:tblStyle w:val="TableGrid"/>
        <w:tblW w:w="1016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0165"/>
      </w:tblGrid>
      <w:tr w:rsidR="00007584" w:rsidRPr="00606D67" w14:paraId="78F81B46" w14:textId="77777777" w:rsidTr="0010265A">
        <w:tc>
          <w:tcPr>
            <w:tcW w:w="10165" w:type="dxa"/>
          </w:tcPr>
          <w:p w14:paraId="0BB36622"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i/>
                <w:sz w:val="22"/>
                <w:szCs w:val="22"/>
              </w:rPr>
              <w:t>Recruitment of Participant(s)</w:t>
            </w:r>
          </w:p>
          <w:p w14:paraId="7C61D6AD"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sz w:val="22"/>
                <w:szCs w:val="22"/>
              </w:rPr>
              <w:t xml:space="preserve">A sample of ~40 student participants with cohorts at UF, FSU, and UF Jacksonville will be recruited from a target population of clinical research professionals and graduate students at all three locations. The sample will be participants interested in gaining competencies in fundamental Data Sciences as applied to managing, coordinating or conducting translational research in data rich areas of precision health. </w:t>
            </w:r>
            <w:r w:rsidRPr="00606D67">
              <w:rPr>
                <w:rFonts w:ascii="Times New Roman" w:hAnsi="Times New Roman"/>
                <w:i/>
                <w:sz w:val="22"/>
                <w:szCs w:val="22"/>
              </w:rPr>
              <w:t xml:space="preserve">  </w:t>
            </w:r>
          </w:p>
          <w:p w14:paraId="5075B11E" w14:textId="77777777" w:rsidR="00007584" w:rsidRPr="00606D67" w:rsidRDefault="00007584" w:rsidP="0010265A">
            <w:pPr>
              <w:shd w:val="clear" w:color="auto" w:fill="FFFFFF"/>
              <w:rPr>
                <w:rFonts w:ascii="Times New Roman" w:hAnsi="Times New Roman"/>
                <w:sz w:val="22"/>
                <w:szCs w:val="22"/>
              </w:rPr>
            </w:pPr>
          </w:p>
          <w:p w14:paraId="4E18B8EB" w14:textId="77777777" w:rsidR="00007584" w:rsidRPr="00606D67" w:rsidRDefault="00007584" w:rsidP="0010265A">
            <w:pPr>
              <w:shd w:val="clear" w:color="auto" w:fill="FFFFFF"/>
              <w:rPr>
                <w:rFonts w:ascii="Times New Roman" w:hAnsi="Times New Roman"/>
                <w:sz w:val="22"/>
                <w:szCs w:val="22"/>
              </w:rPr>
            </w:pPr>
            <w:r w:rsidRPr="00606D67">
              <w:rPr>
                <w:rFonts w:ascii="Times New Roman" w:hAnsi="Times New Roman"/>
                <w:sz w:val="22"/>
                <w:szCs w:val="22"/>
              </w:rPr>
              <w:t xml:space="preserve">Participants will be recruited from the population of research professionals identified through CTSI networks and training programs.  Recruitment messages will be disseminated via relevant list servers as well as direct approaches from key personnel. </w:t>
            </w:r>
          </w:p>
          <w:p w14:paraId="257AF43A" w14:textId="77777777" w:rsidR="00007584" w:rsidRPr="00606D67" w:rsidRDefault="00007584" w:rsidP="0010265A">
            <w:pPr>
              <w:shd w:val="clear" w:color="auto" w:fill="FFFFFF"/>
              <w:rPr>
                <w:rFonts w:ascii="Times New Roman" w:hAnsi="Times New Roman"/>
                <w:sz w:val="22"/>
                <w:szCs w:val="22"/>
              </w:rPr>
            </w:pPr>
          </w:p>
        </w:tc>
      </w:tr>
      <w:tr w:rsidR="00007584" w:rsidRPr="00606D67" w14:paraId="1ED5EF3F" w14:textId="77777777" w:rsidTr="0010265A">
        <w:tc>
          <w:tcPr>
            <w:tcW w:w="10165" w:type="dxa"/>
          </w:tcPr>
          <w:p w14:paraId="613B5433"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Informed Consent</w:t>
            </w:r>
          </w:p>
          <w:p w14:paraId="3C1A0776"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Respondents will be sent an email with a request to participate in the study.  Details of the study with potential benefits and risks will be provided in the recruitment email.  Follow-up consent will be completed online via a Qualtrics survey.</w:t>
            </w:r>
          </w:p>
          <w:p w14:paraId="4D9D1907" w14:textId="77777777" w:rsidR="00007584" w:rsidRPr="00606D67" w:rsidRDefault="00007584" w:rsidP="0010265A">
            <w:pPr>
              <w:rPr>
                <w:rFonts w:ascii="Times New Roman" w:hAnsi="Times New Roman"/>
                <w:sz w:val="22"/>
                <w:szCs w:val="22"/>
              </w:rPr>
            </w:pPr>
          </w:p>
        </w:tc>
      </w:tr>
      <w:tr w:rsidR="00007584" w:rsidRPr="00606D67" w14:paraId="00A2ADEF" w14:textId="77777777" w:rsidTr="0010265A">
        <w:tc>
          <w:tcPr>
            <w:tcW w:w="10165" w:type="dxa"/>
          </w:tcPr>
          <w:p w14:paraId="1048053A" w14:textId="77777777" w:rsidR="00007584" w:rsidRPr="00606D67" w:rsidRDefault="00007584" w:rsidP="0010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i/>
                <w:sz w:val="22"/>
                <w:szCs w:val="22"/>
              </w:rPr>
            </w:pPr>
            <w:r w:rsidRPr="00606D67">
              <w:rPr>
                <w:rFonts w:ascii="Times New Roman" w:eastAsia="Times New Roman" w:hAnsi="Times New Roman"/>
                <w:i/>
                <w:sz w:val="22"/>
                <w:szCs w:val="22"/>
              </w:rPr>
              <w:t>Research Methodology</w:t>
            </w:r>
          </w:p>
          <w:p w14:paraId="35FD448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A small sample (~40) of individuals will be recruited to participate in a CTSI translational data science mini-course which features a PPH data story as the initial learning experience.  Participants will be asked to fill out pre-and-post surveys to acquire demographic background data and assess the usability of the data story module and selected features of the mini-course.  Additionally, a small subset (~5) participants will be invited to an interview, either individually or as part of a focus group.  Interviews will take between 45 minutes and one hour.</w:t>
            </w:r>
          </w:p>
          <w:p w14:paraId="503AF3AA" w14:textId="77777777" w:rsidR="00007584" w:rsidRPr="00606D67" w:rsidRDefault="00007584" w:rsidP="0010265A">
            <w:pPr>
              <w:rPr>
                <w:rFonts w:ascii="Times New Roman" w:hAnsi="Times New Roman"/>
                <w:sz w:val="22"/>
                <w:szCs w:val="22"/>
              </w:rPr>
            </w:pPr>
          </w:p>
        </w:tc>
      </w:tr>
      <w:tr w:rsidR="00007584" w:rsidRPr="00606D67" w14:paraId="38BEADC4" w14:textId="77777777" w:rsidTr="0010265A">
        <w:tc>
          <w:tcPr>
            <w:tcW w:w="10165" w:type="dxa"/>
          </w:tcPr>
          <w:p w14:paraId="7BF74FE2"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Collection</w:t>
            </w:r>
          </w:p>
          <w:p w14:paraId="59C09BCB"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range of questions pursued in the interviews and surveys will be limited to those of demography and usability.  Data will be collected from the pre-and-post surveys, interviews, and focus groups. The focus groups and individual interviews will be audio recorded with the consent of each participant. A professional transcriptionist – not associated with the study – will transcribe each interview.  Data will be scanned and stored electronically in applications such as Microsoft OneNote or Dropbox.</w:t>
            </w:r>
          </w:p>
          <w:p w14:paraId="4D25A884" w14:textId="77777777" w:rsidR="00007584" w:rsidRPr="00606D67" w:rsidRDefault="00007584" w:rsidP="0010265A">
            <w:pPr>
              <w:rPr>
                <w:rFonts w:ascii="Times New Roman" w:hAnsi="Times New Roman"/>
                <w:sz w:val="22"/>
                <w:szCs w:val="22"/>
              </w:rPr>
            </w:pPr>
          </w:p>
        </w:tc>
      </w:tr>
      <w:tr w:rsidR="00007584" w:rsidRPr="00606D67" w14:paraId="307A30FD" w14:textId="77777777" w:rsidTr="0010265A">
        <w:tc>
          <w:tcPr>
            <w:tcW w:w="10165" w:type="dxa"/>
          </w:tcPr>
          <w:p w14:paraId="061CFB91"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Analysis</w:t>
            </w:r>
          </w:p>
          <w:p w14:paraId="20EBA87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Descriptive statistics will be used to analyze the study’s survey data.  The transcribed interviews and focus group conversations will be analyzed using appropriate qualitative and phenomenological methods.  Open science best-practices will be employed in the sharing of the analysis and findings.</w:t>
            </w:r>
          </w:p>
          <w:p w14:paraId="0BAABF51" w14:textId="77777777" w:rsidR="00007584" w:rsidRPr="00606D67" w:rsidRDefault="00007584" w:rsidP="0010265A">
            <w:pPr>
              <w:rPr>
                <w:rFonts w:ascii="Times New Roman" w:hAnsi="Times New Roman"/>
                <w:sz w:val="22"/>
                <w:szCs w:val="22"/>
              </w:rPr>
            </w:pPr>
          </w:p>
        </w:tc>
      </w:tr>
      <w:tr w:rsidR="00007584" w:rsidRPr="00606D67" w14:paraId="25056861" w14:textId="77777777" w:rsidTr="0010265A">
        <w:tc>
          <w:tcPr>
            <w:tcW w:w="10165" w:type="dxa"/>
          </w:tcPr>
          <w:p w14:paraId="5AB613FA"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Research Locations</w:t>
            </w:r>
          </w:p>
          <w:p w14:paraId="16295542"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mini-course and surveys will be conducted online.  In-person interviews may be supplemented with Zoom conference calls.  The primary research location will be UF’s Gainesville campus.</w:t>
            </w:r>
          </w:p>
          <w:p w14:paraId="4AB88CFB" w14:textId="77777777" w:rsidR="00007584" w:rsidRPr="00606D67" w:rsidRDefault="00007584" w:rsidP="0010265A">
            <w:pPr>
              <w:rPr>
                <w:rFonts w:ascii="Times New Roman" w:hAnsi="Times New Roman"/>
                <w:sz w:val="22"/>
                <w:szCs w:val="22"/>
              </w:rPr>
            </w:pPr>
          </w:p>
        </w:tc>
      </w:tr>
      <w:tr w:rsidR="00007584" w:rsidRPr="00606D67" w14:paraId="1A0BD482" w14:textId="77777777" w:rsidTr="0010265A">
        <w:tc>
          <w:tcPr>
            <w:tcW w:w="10165" w:type="dxa"/>
          </w:tcPr>
          <w:p w14:paraId="5B8219FE"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Benefits and Risks</w:t>
            </w:r>
          </w:p>
          <w:p w14:paraId="292C0D6D"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CTSI translational data science online mini-course will be offered as a “CTSI Certificate of Completion” at no charge to study participants.  UF participants who complete the training will have this recorded in their HR training records.  It is anticipated the time commitment will be approximately 15 hours over the course of 5 weeks.  There are no anticipated risks to participating in this research.</w:t>
            </w:r>
          </w:p>
        </w:tc>
      </w:tr>
    </w:tbl>
    <w:p w14:paraId="52E444C2"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15868" w:themeColor="accent5" w:themeShade="80"/>
          <w:sz w:val="24"/>
          <w:szCs w:val="24"/>
        </w:rPr>
      </w:pPr>
    </w:p>
    <w:p w14:paraId="1A2EB5E6" w14:textId="77777777" w:rsidR="00007584" w:rsidRPr="00606D67" w:rsidRDefault="00007584"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14:paraId="0D04EFDB" w14:textId="77777777" w:rsidR="001A69B2" w:rsidRPr="00380CEF" w:rsidRDefault="001A69B2" w:rsidP="001A69B2">
      <w:pPr>
        <w:spacing w:after="0" w:line="240" w:lineRule="auto"/>
        <w:rPr>
          <w:rFonts w:ascii="Times New Roman" w:hAnsi="Times New Roman" w:cs="Times New Roman"/>
          <w:i/>
          <w:sz w:val="24"/>
          <w:szCs w:val="24"/>
        </w:rPr>
      </w:pPr>
      <w:r w:rsidRPr="00380CEF">
        <w:rPr>
          <w:rFonts w:ascii="Times New Roman" w:hAnsi="Times New Roman" w:cs="Times New Roman"/>
          <w:i/>
          <w:sz w:val="24"/>
          <w:szCs w:val="24"/>
        </w:rPr>
        <w:lastRenderedPageBreak/>
        <w:t>Quotes</w:t>
      </w:r>
    </w:p>
    <w:p w14:paraId="117259FC" w14:textId="77777777" w:rsidR="001A69B2" w:rsidRPr="00380CEF" w:rsidRDefault="001A69B2" w:rsidP="001A69B2">
      <w:pPr>
        <w:spacing w:after="0" w:line="240" w:lineRule="auto"/>
        <w:rPr>
          <w:rFonts w:ascii="Times New Roman" w:hAnsi="Times New Roman" w:cs="Times New Roman"/>
          <w:i/>
          <w:sz w:val="24"/>
          <w:szCs w:val="24"/>
        </w:rPr>
      </w:pPr>
    </w:p>
    <w:p w14:paraId="6AF2DF94" w14:textId="77777777" w:rsidR="001A69B2" w:rsidRPr="00380CEF" w:rsidRDefault="001A69B2" w:rsidP="006A1126">
      <w:pPr>
        <w:spacing w:after="0"/>
        <w:rPr>
          <w:rFonts w:ascii="Times New Roman" w:hAnsi="Times New Roman" w:cs="Times New Roman"/>
          <w:sz w:val="24"/>
          <w:szCs w:val="24"/>
        </w:rPr>
      </w:pPr>
      <w:r w:rsidRPr="00380CEF">
        <w:rPr>
          <w:rFonts w:ascii="Times New Roman" w:hAnsi="Times New Roman" w:cs="Times New Roman"/>
          <w:sz w:val="24"/>
          <w:szCs w:val="24"/>
        </w:rPr>
        <w:tab/>
        <w:t xml:space="preserve">We love the tangible, the confirmation, the palpable, the real, the visible, the concrete, the known, the seen, the vivid, the visual, the social, the embedded, the emotionally laden … Most of all we favor </w:t>
      </w:r>
      <w:r w:rsidRPr="00380CEF">
        <w:rPr>
          <w:rFonts w:ascii="Times New Roman" w:hAnsi="Times New Roman" w:cs="Times New Roman"/>
          <w:i/>
          <w:sz w:val="24"/>
          <w:szCs w:val="24"/>
        </w:rPr>
        <w:t>the narrated.</w:t>
      </w:r>
    </w:p>
    <w:p w14:paraId="0278121A" w14:textId="77777777" w:rsidR="001A69B2" w:rsidRPr="00380CEF" w:rsidRDefault="001A69B2" w:rsidP="006A1126">
      <w:pPr>
        <w:spacing w:after="0"/>
        <w:ind w:firstLine="720"/>
        <w:rPr>
          <w:rFonts w:ascii="Times New Roman" w:hAnsi="Times New Roman" w:cs="Times New Roman"/>
          <w:sz w:val="24"/>
          <w:szCs w:val="24"/>
        </w:rPr>
      </w:pPr>
      <w:r w:rsidRPr="00380CEF">
        <w:rPr>
          <w:rFonts w:ascii="Times New Roman" w:hAnsi="Times New Roman" w:cs="Times New Roman"/>
          <w:sz w:val="24"/>
          <w:szCs w:val="24"/>
        </w:rPr>
        <w:t>Alas, we are not manufactured, in our current edition of the human race, to understand abstract matters – we need context (Taleb, 2007, p. 132).</w:t>
      </w:r>
    </w:p>
    <w:p w14:paraId="535B211F" w14:textId="77777777" w:rsidR="001A69B2" w:rsidRPr="00380CEF" w:rsidRDefault="001A69B2" w:rsidP="001A69B2">
      <w:pPr>
        <w:spacing w:after="0" w:line="240" w:lineRule="auto"/>
        <w:ind w:firstLine="720"/>
        <w:rPr>
          <w:rFonts w:ascii="Times New Roman" w:hAnsi="Times New Roman" w:cs="Times New Roman"/>
          <w:sz w:val="24"/>
          <w:szCs w:val="24"/>
        </w:rPr>
      </w:pPr>
    </w:p>
    <w:p w14:paraId="6A128C83" w14:textId="77777777" w:rsidR="006A1126" w:rsidRPr="00380CEF" w:rsidRDefault="006A1126" w:rsidP="00A62699">
      <w:pPr>
        <w:spacing w:after="0"/>
        <w:ind w:firstLine="720"/>
        <w:rPr>
          <w:rFonts w:ascii="Times New Roman" w:hAnsi="Times New Roman" w:cs="Times New Roman"/>
          <w:sz w:val="24"/>
          <w:szCs w:val="24"/>
        </w:rPr>
      </w:pPr>
      <w:r w:rsidRPr="00380CEF">
        <w:rPr>
          <w:rFonts w:ascii="Times New Roman" w:hAnsi="Times New Roman" w:cs="Times New Roman"/>
          <w:sz w:val="24"/>
          <w:szCs w:val="24"/>
        </w:rPr>
        <w:t>If I have a set of 200 random variables, completely unrelated to each other, then it would be near impossible not to find in it a high correlation of sorts, say 30 percent, but that is entirely spurious (Taleb, 2012, p. 418).</w:t>
      </w:r>
    </w:p>
    <w:p w14:paraId="64A55DCC" w14:textId="77777777"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14:paraId="370C3DA4" w14:textId="77777777"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14:paraId="6BA590F2" w14:textId="77777777"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14:paraId="49B681FC"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79A573F0"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14:paraId="5B5DC4C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7522902"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10"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14:paraId="65FC0618"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082B4CB"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14:paraId="015E7CB5"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20E2DEA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Research Design: Qualitative, quantitative, and mixed methods approaches.</w:t>
      </w:r>
      <w:r w:rsidRPr="000B7E40">
        <w:rPr>
          <w:rFonts w:ascii="Times New Roman" w:hAnsi="Times New Roman" w:cs="Times New Roman"/>
          <w:sz w:val="24"/>
          <w:szCs w:val="24"/>
          <w:shd w:val="clear" w:color="auto" w:fill="FFFFFF"/>
        </w:rPr>
        <w:t xml:space="preserve"> Thousand Oaks, CA: Sage.</w:t>
      </w:r>
    </w:p>
    <w:p w14:paraId="3A83AD24"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68961D9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14:paraId="61F96A51"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8707E11"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1" w:history="1">
        <w:r w:rsidRPr="000B7E40">
          <w:rPr>
            <w:rStyle w:val="Hyperlink"/>
            <w:rFonts w:ascii="Times New Roman" w:hAnsi="Times New Roman" w:cs="Times New Roman"/>
            <w:sz w:val="24"/>
            <w:szCs w:val="24"/>
          </w:rPr>
          <w:t>http://nap.edu/9457</w:t>
        </w:r>
      </w:hyperlink>
    </w:p>
    <w:p w14:paraId="4EA1277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7730F04"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14:paraId="3413D4AF"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7D31B4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14:paraId="78CB887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33EB391"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14:paraId="077B8B09" w14:textId="77777777" w:rsidR="000B7E40" w:rsidRPr="000B7E40" w:rsidRDefault="000B7E40" w:rsidP="000B7E40">
      <w:pPr>
        <w:pStyle w:val="EndNoteBibliography"/>
        <w:ind w:left="720" w:hanging="720"/>
        <w:rPr>
          <w:rFonts w:ascii="Times New Roman" w:hAnsi="Times New Roman" w:cs="Times New Roman"/>
        </w:rPr>
      </w:pPr>
    </w:p>
    <w:p w14:paraId="29918514"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14:paraId="4EAB1B91" w14:textId="77777777" w:rsidR="000B7E40" w:rsidRPr="000B7E40" w:rsidRDefault="000B7E40" w:rsidP="000B7E40">
      <w:pPr>
        <w:pStyle w:val="EndNoteBibliography"/>
        <w:ind w:left="720" w:hanging="720"/>
        <w:rPr>
          <w:rFonts w:ascii="Times New Roman" w:hAnsi="Times New Roman" w:cs="Times New Roman"/>
        </w:rPr>
      </w:pPr>
    </w:p>
    <w:p w14:paraId="154D7893"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14:paraId="58174C4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0D65EC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14:paraId="0AFF562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0991028"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14:paraId="0B0D76EC"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E97EB8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14:paraId="4533EE21"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44333C6" w14:textId="77777777"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14:paraId="51263BE6"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2D4C1E4" w14:textId="77777777"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14:paraId="771F31C6" w14:textId="77777777"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2" w:history="1">
        <w:r w:rsidRPr="000B7E40">
          <w:rPr>
            <w:rStyle w:val="Hyperlink"/>
          </w:rPr>
          <w:t>http://www.cica.indiana.edu/cscl95/jonassen.html</w:t>
        </w:r>
      </w:hyperlink>
    </w:p>
    <w:p w14:paraId="02C572FE" w14:textId="77777777" w:rsidR="000B7E40" w:rsidRPr="000B7E40" w:rsidRDefault="000B7E40" w:rsidP="000B7E40">
      <w:pPr>
        <w:pStyle w:val="NormalWeb"/>
        <w:spacing w:before="0" w:beforeAutospacing="0" w:after="0" w:afterAutospacing="0"/>
      </w:pPr>
    </w:p>
    <w:p w14:paraId="6BD929B3" w14:textId="77777777" w:rsidR="00BA5E3A" w:rsidRDefault="000B7E40" w:rsidP="000B7E40">
      <w:pPr>
        <w:pStyle w:val="NormalWeb"/>
        <w:spacing w:before="0" w:beforeAutospacing="0" w:after="0" w:afterAutospacing="0"/>
      </w:pPr>
      <w:r w:rsidRPr="000B7E40">
        <w:t>Marton, F. (1986). Phenomenography: A research approach to investigating different</w:t>
      </w:r>
    </w:p>
    <w:p w14:paraId="0521B769" w14:textId="77777777"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14:paraId="7985F99A" w14:textId="77777777" w:rsidR="000B7E40" w:rsidRPr="00BA5E3A" w:rsidRDefault="00BA5E3A" w:rsidP="00BA5E3A">
      <w:pPr>
        <w:pStyle w:val="NormalWeb"/>
        <w:spacing w:before="0" w:beforeAutospacing="0" w:after="0" w:afterAutospacing="0"/>
        <w:rPr>
          <w:rStyle w:val="Hyperlink"/>
          <w:color w:val="auto"/>
          <w:u w:val="none"/>
        </w:rPr>
      </w:pPr>
      <w:r>
        <w:t xml:space="preserve">         </w:t>
      </w:r>
      <w:hyperlink r:id="rId13" w:history="1">
        <w:r w:rsidRPr="00412451">
          <w:rPr>
            <w:rStyle w:val="Hyperlink"/>
          </w:rPr>
          <w:t>https://www.jstor.org/stable/42589189</w:t>
        </w:r>
      </w:hyperlink>
    </w:p>
    <w:p w14:paraId="23C58D92" w14:textId="77777777" w:rsidR="000B7E40" w:rsidRPr="000B7E40" w:rsidRDefault="000B7E40" w:rsidP="000B7E40">
      <w:pPr>
        <w:pStyle w:val="NormalWeb"/>
        <w:spacing w:before="0" w:beforeAutospacing="0" w:after="0" w:afterAutospacing="0"/>
      </w:pPr>
    </w:p>
    <w:p w14:paraId="6CD4E0F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14:paraId="3DC87100"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DA3E93C"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14:paraId="243793A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327C330"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14:paraId="2777BC4A"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77F3109" w14:textId="77777777"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14:paraId="2589020F" w14:textId="77777777"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14:paraId="1420C07C"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14:paraId="47851004"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14:paraId="56C4416B" w14:textId="77777777"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14:paraId="420E892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42B06A7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14:paraId="04F24F00"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14:paraId="5ECD63B4"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14:paraId="0876CCC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09AC6B5" w14:textId="77777777"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14:paraId="5CC5F47B"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14:paraId="3140EDA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2E9C06A" w14:textId="77777777"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14:paraId="7C876471" w14:textId="77777777"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14:paraId="71253D42" w14:textId="77777777"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proofErr w:type="spellStart"/>
      <w:r>
        <w:rPr>
          <w:rFonts w:ascii="Times New Roman" w:hAnsi="Times New Roman" w:cs="Times New Roman"/>
          <w:i/>
          <w:sz w:val="24"/>
          <w:szCs w:val="24"/>
        </w:rPr>
        <w:t>Antifragile</w:t>
      </w:r>
      <w:proofErr w:type="spellEnd"/>
      <w:r>
        <w:rPr>
          <w:rFonts w:ascii="Times New Roman" w:hAnsi="Times New Roman" w:cs="Times New Roman"/>
          <w:i/>
          <w:sz w:val="24"/>
          <w:szCs w:val="24"/>
        </w:rPr>
        <w:t>: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14:paraId="3CABF0B5" w14:textId="77777777"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14:paraId="2B3E209A" w14:textId="77777777"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14:paraId="09758D6A"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14:paraId="7DBECA5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1B65333D" w14:textId="77777777"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14:paraId="146B7784"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14:paraId="79D4B9F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70EE858D"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14:paraId="0986702E"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14:paraId="058A553A"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6F4549C"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14:paraId="065EA38A"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14:paraId="77B4A7D1"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14:paraId="6896F01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185833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14:paraId="7A088FA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14:paraId="357CDBDB"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14:paraId="120B3741"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353722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14:paraId="434F558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14:paraId="5591E71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14:paraId="595AB079"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730F35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14:paraId="7BF515B7"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14:paraId="044F1302"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14:paraId="6898DB36" w14:textId="77777777" w:rsidR="00DC41DD" w:rsidRDefault="00DC41DD" w:rsidP="000B7E40">
      <w:pPr>
        <w:shd w:val="clear" w:color="auto" w:fill="FFFFFF"/>
        <w:spacing w:after="0" w:line="240" w:lineRule="auto"/>
        <w:ind w:right="525"/>
        <w:rPr>
          <w:rFonts w:ascii="Times New Roman" w:hAnsi="Times New Roman" w:cs="Times New Roman"/>
          <w:iCs/>
          <w:sz w:val="24"/>
          <w:szCs w:val="24"/>
        </w:rPr>
      </w:pPr>
    </w:p>
    <w:p w14:paraId="4B1E9C41" w14:textId="77777777"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14:paraId="705D4A31" w14:textId="77777777"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14:paraId="45F43F2C" w14:textId="77777777"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14:paraId="4628611D" w14:textId="77777777"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14:paraId="16225F1E" w14:textId="77777777"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07584"/>
    <w:rsid w:val="00011B4B"/>
    <w:rsid w:val="00025DF0"/>
    <w:rsid w:val="0002653A"/>
    <w:rsid w:val="000318D0"/>
    <w:rsid w:val="0003512D"/>
    <w:rsid w:val="00036156"/>
    <w:rsid w:val="0004109C"/>
    <w:rsid w:val="00042C0E"/>
    <w:rsid w:val="00056F09"/>
    <w:rsid w:val="00062FA3"/>
    <w:rsid w:val="000716EB"/>
    <w:rsid w:val="000761E6"/>
    <w:rsid w:val="00080FC5"/>
    <w:rsid w:val="00082BA4"/>
    <w:rsid w:val="0008631D"/>
    <w:rsid w:val="00090ED9"/>
    <w:rsid w:val="0009740B"/>
    <w:rsid w:val="00097774"/>
    <w:rsid w:val="00097DEE"/>
    <w:rsid w:val="000A0CDA"/>
    <w:rsid w:val="000A396D"/>
    <w:rsid w:val="000A5028"/>
    <w:rsid w:val="000B7A0B"/>
    <w:rsid w:val="000B7E40"/>
    <w:rsid w:val="000C41E9"/>
    <w:rsid w:val="000C748E"/>
    <w:rsid w:val="000C77E2"/>
    <w:rsid w:val="000D3AC5"/>
    <w:rsid w:val="000D54C0"/>
    <w:rsid w:val="000D777B"/>
    <w:rsid w:val="000E2159"/>
    <w:rsid w:val="000E3639"/>
    <w:rsid w:val="000E5D4C"/>
    <w:rsid w:val="000E6C95"/>
    <w:rsid w:val="000F7978"/>
    <w:rsid w:val="001037C5"/>
    <w:rsid w:val="001050A3"/>
    <w:rsid w:val="00106811"/>
    <w:rsid w:val="0010694E"/>
    <w:rsid w:val="0011218E"/>
    <w:rsid w:val="00121E88"/>
    <w:rsid w:val="00141BDF"/>
    <w:rsid w:val="00151399"/>
    <w:rsid w:val="00151D25"/>
    <w:rsid w:val="001562B8"/>
    <w:rsid w:val="00156DE8"/>
    <w:rsid w:val="00157D06"/>
    <w:rsid w:val="00167B72"/>
    <w:rsid w:val="00197C90"/>
    <w:rsid w:val="001A69B2"/>
    <w:rsid w:val="001A6DF2"/>
    <w:rsid w:val="001B6016"/>
    <w:rsid w:val="001C08DB"/>
    <w:rsid w:val="001C55D7"/>
    <w:rsid w:val="001C5643"/>
    <w:rsid w:val="001D5B15"/>
    <w:rsid w:val="001D61A0"/>
    <w:rsid w:val="001F37EF"/>
    <w:rsid w:val="00206D36"/>
    <w:rsid w:val="002204C0"/>
    <w:rsid w:val="00221A38"/>
    <w:rsid w:val="00222B0C"/>
    <w:rsid w:val="00224908"/>
    <w:rsid w:val="00234EE8"/>
    <w:rsid w:val="00236420"/>
    <w:rsid w:val="002368CF"/>
    <w:rsid w:val="00237587"/>
    <w:rsid w:val="00242D54"/>
    <w:rsid w:val="00245954"/>
    <w:rsid w:val="00246D9F"/>
    <w:rsid w:val="00262D6C"/>
    <w:rsid w:val="00270C88"/>
    <w:rsid w:val="00285ADA"/>
    <w:rsid w:val="00287FFD"/>
    <w:rsid w:val="002A150A"/>
    <w:rsid w:val="002B0276"/>
    <w:rsid w:val="002C3E76"/>
    <w:rsid w:val="002C41F1"/>
    <w:rsid w:val="002C4603"/>
    <w:rsid w:val="002D3960"/>
    <w:rsid w:val="002E1D50"/>
    <w:rsid w:val="002E2D14"/>
    <w:rsid w:val="002E36C3"/>
    <w:rsid w:val="002E586E"/>
    <w:rsid w:val="002F53D9"/>
    <w:rsid w:val="0030307A"/>
    <w:rsid w:val="00311645"/>
    <w:rsid w:val="00314A22"/>
    <w:rsid w:val="00314B1D"/>
    <w:rsid w:val="0032371A"/>
    <w:rsid w:val="00327321"/>
    <w:rsid w:val="0034351A"/>
    <w:rsid w:val="0034562E"/>
    <w:rsid w:val="003540B0"/>
    <w:rsid w:val="003641E9"/>
    <w:rsid w:val="003652C0"/>
    <w:rsid w:val="00367E8B"/>
    <w:rsid w:val="00371FAB"/>
    <w:rsid w:val="003769E8"/>
    <w:rsid w:val="00380164"/>
    <w:rsid w:val="00380CEF"/>
    <w:rsid w:val="0038492D"/>
    <w:rsid w:val="00387390"/>
    <w:rsid w:val="003A1836"/>
    <w:rsid w:val="003A3D55"/>
    <w:rsid w:val="003A4E98"/>
    <w:rsid w:val="003A5BA2"/>
    <w:rsid w:val="003B1148"/>
    <w:rsid w:val="003B21D4"/>
    <w:rsid w:val="003B2C61"/>
    <w:rsid w:val="003B339F"/>
    <w:rsid w:val="003C106B"/>
    <w:rsid w:val="003C20B6"/>
    <w:rsid w:val="003C6CEB"/>
    <w:rsid w:val="003E47C7"/>
    <w:rsid w:val="00412595"/>
    <w:rsid w:val="00417A83"/>
    <w:rsid w:val="00417C19"/>
    <w:rsid w:val="00422452"/>
    <w:rsid w:val="0042476D"/>
    <w:rsid w:val="0043052A"/>
    <w:rsid w:val="00436FC7"/>
    <w:rsid w:val="00440CAA"/>
    <w:rsid w:val="004568F8"/>
    <w:rsid w:val="00457F49"/>
    <w:rsid w:val="00461D5E"/>
    <w:rsid w:val="00463648"/>
    <w:rsid w:val="0046445A"/>
    <w:rsid w:val="0046517F"/>
    <w:rsid w:val="00467275"/>
    <w:rsid w:val="00467D39"/>
    <w:rsid w:val="004725D2"/>
    <w:rsid w:val="0048622F"/>
    <w:rsid w:val="0049597D"/>
    <w:rsid w:val="004A1AE6"/>
    <w:rsid w:val="004A4FA1"/>
    <w:rsid w:val="004B1F0A"/>
    <w:rsid w:val="004B3197"/>
    <w:rsid w:val="004C0AEA"/>
    <w:rsid w:val="004C1512"/>
    <w:rsid w:val="004C1DCF"/>
    <w:rsid w:val="004C56E8"/>
    <w:rsid w:val="004C6B31"/>
    <w:rsid w:val="004D4348"/>
    <w:rsid w:val="004D46AD"/>
    <w:rsid w:val="004D70F2"/>
    <w:rsid w:val="004D7538"/>
    <w:rsid w:val="004E14D6"/>
    <w:rsid w:val="004E49F4"/>
    <w:rsid w:val="004F554C"/>
    <w:rsid w:val="004F5AE9"/>
    <w:rsid w:val="004F784F"/>
    <w:rsid w:val="00500F8C"/>
    <w:rsid w:val="00513EDB"/>
    <w:rsid w:val="005147C8"/>
    <w:rsid w:val="00515FD3"/>
    <w:rsid w:val="005210E1"/>
    <w:rsid w:val="00523A50"/>
    <w:rsid w:val="005254CF"/>
    <w:rsid w:val="005317DF"/>
    <w:rsid w:val="00532968"/>
    <w:rsid w:val="0053377B"/>
    <w:rsid w:val="005415F3"/>
    <w:rsid w:val="0055643C"/>
    <w:rsid w:val="00563CB3"/>
    <w:rsid w:val="005912C5"/>
    <w:rsid w:val="00593B3B"/>
    <w:rsid w:val="005A2790"/>
    <w:rsid w:val="005B0926"/>
    <w:rsid w:val="005B6FA5"/>
    <w:rsid w:val="005C147E"/>
    <w:rsid w:val="005C2ABD"/>
    <w:rsid w:val="005C68CF"/>
    <w:rsid w:val="005D197B"/>
    <w:rsid w:val="005D56A7"/>
    <w:rsid w:val="005D6697"/>
    <w:rsid w:val="005D74AF"/>
    <w:rsid w:val="005D7AF0"/>
    <w:rsid w:val="005F00C9"/>
    <w:rsid w:val="005F3F70"/>
    <w:rsid w:val="005F48D8"/>
    <w:rsid w:val="005F6355"/>
    <w:rsid w:val="00606D67"/>
    <w:rsid w:val="00610CFD"/>
    <w:rsid w:val="00624604"/>
    <w:rsid w:val="006264F1"/>
    <w:rsid w:val="0063065F"/>
    <w:rsid w:val="00642589"/>
    <w:rsid w:val="00647BD7"/>
    <w:rsid w:val="00653298"/>
    <w:rsid w:val="00664CC7"/>
    <w:rsid w:val="00673387"/>
    <w:rsid w:val="006734E4"/>
    <w:rsid w:val="00676E8C"/>
    <w:rsid w:val="0068126E"/>
    <w:rsid w:val="00685AE2"/>
    <w:rsid w:val="00697124"/>
    <w:rsid w:val="006A1126"/>
    <w:rsid w:val="006A134E"/>
    <w:rsid w:val="006A5F14"/>
    <w:rsid w:val="006A61FC"/>
    <w:rsid w:val="006B0948"/>
    <w:rsid w:val="006B61A9"/>
    <w:rsid w:val="006C19E9"/>
    <w:rsid w:val="006C20D3"/>
    <w:rsid w:val="006C2135"/>
    <w:rsid w:val="006C4268"/>
    <w:rsid w:val="006C54DC"/>
    <w:rsid w:val="006C69A7"/>
    <w:rsid w:val="006D474C"/>
    <w:rsid w:val="006D6B19"/>
    <w:rsid w:val="006E513D"/>
    <w:rsid w:val="0071139E"/>
    <w:rsid w:val="00711AE7"/>
    <w:rsid w:val="0072203D"/>
    <w:rsid w:val="00725D1F"/>
    <w:rsid w:val="007268BE"/>
    <w:rsid w:val="00727EAE"/>
    <w:rsid w:val="00733873"/>
    <w:rsid w:val="00734E52"/>
    <w:rsid w:val="00740A96"/>
    <w:rsid w:val="00744E7E"/>
    <w:rsid w:val="00757395"/>
    <w:rsid w:val="00763204"/>
    <w:rsid w:val="0076320C"/>
    <w:rsid w:val="007676CF"/>
    <w:rsid w:val="00770671"/>
    <w:rsid w:val="00772827"/>
    <w:rsid w:val="00777646"/>
    <w:rsid w:val="00784805"/>
    <w:rsid w:val="00794AFB"/>
    <w:rsid w:val="007971BA"/>
    <w:rsid w:val="007A5E26"/>
    <w:rsid w:val="007B224D"/>
    <w:rsid w:val="007B309C"/>
    <w:rsid w:val="007E4166"/>
    <w:rsid w:val="007E5BD9"/>
    <w:rsid w:val="007E6845"/>
    <w:rsid w:val="007E6D01"/>
    <w:rsid w:val="007F406A"/>
    <w:rsid w:val="007F6E5F"/>
    <w:rsid w:val="008110C1"/>
    <w:rsid w:val="00811D66"/>
    <w:rsid w:val="008224CF"/>
    <w:rsid w:val="0082354B"/>
    <w:rsid w:val="00823B91"/>
    <w:rsid w:val="00823E51"/>
    <w:rsid w:val="00824B9F"/>
    <w:rsid w:val="00832402"/>
    <w:rsid w:val="00833F18"/>
    <w:rsid w:val="00847530"/>
    <w:rsid w:val="0085273A"/>
    <w:rsid w:val="00863722"/>
    <w:rsid w:val="00866151"/>
    <w:rsid w:val="00867DAA"/>
    <w:rsid w:val="00883063"/>
    <w:rsid w:val="00890220"/>
    <w:rsid w:val="008A42C6"/>
    <w:rsid w:val="008B7838"/>
    <w:rsid w:val="008C0515"/>
    <w:rsid w:val="008C6F8F"/>
    <w:rsid w:val="008D1900"/>
    <w:rsid w:val="008D383E"/>
    <w:rsid w:val="008D7DCA"/>
    <w:rsid w:val="008E7A67"/>
    <w:rsid w:val="008F7C5C"/>
    <w:rsid w:val="00902744"/>
    <w:rsid w:val="00903824"/>
    <w:rsid w:val="00904238"/>
    <w:rsid w:val="009129D2"/>
    <w:rsid w:val="009131A2"/>
    <w:rsid w:val="0092726F"/>
    <w:rsid w:val="009404D0"/>
    <w:rsid w:val="0094185B"/>
    <w:rsid w:val="00954CDB"/>
    <w:rsid w:val="00967E2A"/>
    <w:rsid w:val="00973D2C"/>
    <w:rsid w:val="00984289"/>
    <w:rsid w:val="0099326E"/>
    <w:rsid w:val="00993B11"/>
    <w:rsid w:val="00994B48"/>
    <w:rsid w:val="00995C63"/>
    <w:rsid w:val="009A0B35"/>
    <w:rsid w:val="009A1A3E"/>
    <w:rsid w:val="009A543A"/>
    <w:rsid w:val="009C3BED"/>
    <w:rsid w:val="009C5270"/>
    <w:rsid w:val="009D02B9"/>
    <w:rsid w:val="009D5F3D"/>
    <w:rsid w:val="009E2460"/>
    <w:rsid w:val="009E2FD4"/>
    <w:rsid w:val="009E4FAE"/>
    <w:rsid w:val="009F06D6"/>
    <w:rsid w:val="009F5E76"/>
    <w:rsid w:val="009F67C5"/>
    <w:rsid w:val="00A037D9"/>
    <w:rsid w:val="00A234BE"/>
    <w:rsid w:val="00A2469B"/>
    <w:rsid w:val="00A376D3"/>
    <w:rsid w:val="00A43EFF"/>
    <w:rsid w:val="00A503D3"/>
    <w:rsid w:val="00A512A1"/>
    <w:rsid w:val="00A568E7"/>
    <w:rsid w:val="00A56DA8"/>
    <w:rsid w:val="00A6192C"/>
    <w:rsid w:val="00A62699"/>
    <w:rsid w:val="00A755ED"/>
    <w:rsid w:val="00A778C9"/>
    <w:rsid w:val="00A96C0B"/>
    <w:rsid w:val="00AA6C21"/>
    <w:rsid w:val="00AB1DC4"/>
    <w:rsid w:val="00AC1B26"/>
    <w:rsid w:val="00AD1611"/>
    <w:rsid w:val="00AD7C8B"/>
    <w:rsid w:val="00AF68A0"/>
    <w:rsid w:val="00AF729A"/>
    <w:rsid w:val="00AF7795"/>
    <w:rsid w:val="00B00804"/>
    <w:rsid w:val="00B1635F"/>
    <w:rsid w:val="00B165D8"/>
    <w:rsid w:val="00B1794B"/>
    <w:rsid w:val="00B31671"/>
    <w:rsid w:val="00B421DB"/>
    <w:rsid w:val="00B42ADB"/>
    <w:rsid w:val="00B45EAD"/>
    <w:rsid w:val="00B47B25"/>
    <w:rsid w:val="00B548C7"/>
    <w:rsid w:val="00B630B5"/>
    <w:rsid w:val="00B712F3"/>
    <w:rsid w:val="00B72BE4"/>
    <w:rsid w:val="00B73036"/>
    <w:rsid w:val="00B77002"/>
    <w:rsid w:val="00B8391B"/>
    <w:rsid w:val="00B9287F"/>
    <w:rsid w:val="00B965CD"/>
    <w:rsid w:val="00BA10D6"/>
    <w:rsid w:val="00BA518C"/>
    <w:rsid w:val="00BA5E3A"/>
    <w:rsid w:val="00BB4FCC"/>
    <w:rsid w:val="00BB73A9"/>
    <w:rsid w:val="00BC1BD5"/>
    <w:rsid w:val="00BC2836"/>
    <w:rsid w:val="00BC4ABA"/>
    <w:rsid w:val="00BC52F6"/>
    <w:rsid w:val="00BD024F"/>
    <w:rsid w:val="00BD4014"/>
    <w:rsid w:val="00BD79D0"/>
    <w:rsid w:val="00BF2E4D"/>
    <w:rsid w:val="00BF7D1B"/>
    <w:rsid w:val="00C04662"/>
    <w:rsid w:val="00C07E7C"/>
    <w:rsid w:val="00C10E93"/>
    <w:rsid w:val="00C12187"/>
    <w:rsid w:val="00C12A3B"/>
    <w:rsid w:val="00C1451B"/>
    <w:rsid w:val="00C22177"/>
    <w:rsid w:val="00C234FB"/>
    <w:rsid w:val="00C24385"/>
    <w:rsid w:val="00C2495C"/>
    <w:rsid w:val="00C4062F"/>
    <w:rsid w:val="00C445A6"/>
    <w:rsid w:val="00C4751A"/>
    <w:rsid w:val="00C53DE0"/>
    <w:rsid w:val="00C6149F"/>
    <w:rsid w:val="00C62395"/>
    <w:rsid w:val="00C671B8"/>
    <w:rsid w:val="00C67D7F"/>
    <w:rsid w:val="00C77049"/>
    <w:rsid w:val="00C77FC7"/>
    <w:rsid w:val="00C843ED"/>
    <w:rsid w:val="00CA2A0B"/>
    <w:rsid w:val="00CA364D"/>
    <w:rsid w:val="00CA37A3"/>
    <w:rsid w:val="00CA62A8"/>
    <w:rsid w:val="00CB405A"/>
    <w:rsid w:val="00CC28CF"/>
    <w:rsid w:val="00CC4BE2"/>
    <w:rsid w:val="00CD07B0"/>
    <w:rsid w:val="00CD201D"/>
    <w:rsid w:val="00CD317C"/>
    <w:rsid w:val="00CD413A"/>
    <w:rsid w:val="00CE3179"/>
    <w:rsid w:val="00D101AD"/>
    <w:rsid w:val="00D169E6"/>
    <w:rsid w:val="00D24CAE"/>
    <w:rsid w:val="00D256DE"/>
    <w:rsid w:val="00D320A8"/>
    <w:rsid w:val="00D53193"/>
    <w:rsid w:val="00D56526"/>
    <w:rsid w:val="00D619ED"/>
    <w:rsid w:val="00D735FC"/>
    <w:rsid w:val="00D749A4"/>
    <w:rsid w:val="00D74FB1"/>
    <w:rsid w:val="00D768AA"/>
    <w:rsid w:val="00D76A8D"/>
    <w:rsid w:val="00D811F6"/>
    <w:rsid w:val="00D91DF5"/>
    <w:rsid w:val="00D9781C"/>
    <w:rsid w:val="00DA1B07"/>
    <w:rsid w:val="00DB02F8"/>
    <w:rsid w:val="00DC095F"/>
    <w:rsid w:val="00DC4084"/>
    <w:rsid w:val="00DC41DD"/>
    <w:rsid w:val="00DC5846"/>
    <w:rsid w:val="00DD7809"/>
    <w:rsid w:val="00DE1C0F"/>
    <w:rsid w:val="00DE4028"/>
    <w:rsid w:val="00DF365C"/>
    <w:rsid w:val="00DF788E"/>
    <w:rsid w:val="00E01604"/>
    <w:rsid w:val="00E0195B"/>
    <w:rsid w:val="00E118F1"/>
    <w:rsid w:val="00E2155E"/>
    <w:rsid w:val="00E23179"/>
    <w:rsid w:val="00E24D9C"/>
    <w:rsid w:val="00E30A97"/>
    <w:rsid w:val="00E3555E"/>
    <w:rsid w:val="00E46D15"/>
    <w:rsid w:val="00E508F3"/>
    <w:rsid w:val="00E66239"/>
    <w:rsid w:val="00E6628E"/>
    <w:rsid w:val="00E72009"/>
    <w:rsid w:val="00E76A9A"/>
    <w:rsid w:val="00E92459"/>
    <w:rsid w:val="00E93DBD"/>
    <w:rsid w:val="00E94412"/>
    <w:rsid w:val="00E950E5"/>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07B5"/>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73297"/>
    <w:rsid w:val="00F814BD"/>
    <w:rsid w:val="00F828D9"/>
    <w:rsid w:val="00F82FAE"/>
    <w:rsid w:val="00F8721C"/>
    <w:rsid w:val="00FA47C6"/>
    <w:rsid w:val="00FB1526"/>
    <w:rsid w:val="00FB1C55"/>
    <w:rsid w:val="00FC1F24"/>
    <w:rsid w:val="00FC1FF7"/>
    <w:rsid w:val="00FC602E"/>
    <w:rsid w:val="00FC6067"/>
    <w:rsid w:val="00FD4224"/>
    <w:rsid w:val="00FD775F"/>
    <w:rsid w:val="00FE10EB"/>
    <w:rsid w:val="00FE200F"/>
    <w:rsid w:val="00FE46A8"/>
    <w:rsid w:val="00FF50B1"/>
    <w:rsid w:val="00FF5135"/>
    <w:rsid w:val="00FF5FFF"/>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CFA"/>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customStyle="1" w:styleId="UnresolvedMention1">
    <w:name w:val="Unresolved Mention1"/>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story" TargetMode="External"/><Relationship Id="rId13" Type="http://schemas.openxmlformats.org/officeDocument/2006/relationships/hyperlink" Target="https://www.jstor.org/stable/42589189" TargetMode="Externa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www.cica.indiana.edu/cscl95/jonas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markdown.rstudio.com/" TargetMode="External"/><Relationship Id="rId11" Type="http://schemas.openxmlformats.org/officeDocument/2006/relationships/hyperlink" Target="http://nap.edu/94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4" Type="http://schemas.openxmlformats.org/officeDocument/2006/relationships/settings" Target="settings.xml"/><Relationship Id="rId9" Type="http://schemas.openxmlformats.org/officeDocument/2006/relationships/hyperlink" Target="https://en.wikipedia.org/wiki/Usability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4370-465F-4F7E-92B4-D181CDBD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11</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93</cp:revision>
  <dcterms:created xsi:type="dcterms:W3CDTF">2019-09-06T16:04:00Z</dcterms:created>
  <dcterms:modified xsi:type="dcterms:W3CDTF">2019-10-09T20:09:00Z</dcterms:modified>
</cp:coreProperties>
</file>