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006D3" w14:textId="77777777"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Introduction and Literature Review</w:t>
      </w:r>
    </w:p>
    <w:p w14:paraId="4EC2D013" w14:textId="7F9E974D" w:rsidR="00007584" w:rsidRPr="00606D67" w:rsidRDefault="00007584" w:rsidP="00DE402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case-studies into their curricula some 100 years ago.  </w:t>
      </w:r>
      <w:r w:rsidR="00847C5F">
        <w:rPr>
          <w:rFonts w:ascii="Times New Roman" w:hAnsi="Times New Roman" w:cs="Times New Roman"/>
          <w:sz w:val="24"/>
          <w:szCs w:val="24"/>
        </w:rPr>
        <w:t>Indeed, t</w:t>
      </w:r>
      <w:r w:rsidRPr="00606D67">
        <w:rPr>
          <w:rFonts w:ascii="Times New Roman" w:hAnsi="Times New Roman" w:cs="Times New Roman"/>
          <w:sz w:val="24"/>
          <w:szCs w:val="24"/>
        </w:rPr>
        <w:t xml:space="preserve">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14:paraId="22B559D2" w14:textId="77777777" w:rsidR="00007584" w:rsidRPr="00606D67" w:rsidRDefault="00007584" w:rsidP="00DE4028">
      <w:pPr>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The practice of data science in the clinical sciences has some unique features that create an ideal environment for a story infused pedagogy.  For example, data analysis in the clinical and translational sciences is concrete</w:t>
      </w:r>
      <w:r w:rsidR="00BF2E4D">
        <w:rPr>
          <w:rFonts w:ascii="Times New Roman" w:hAnsi="Times New Roman" w:cs="Times New Roman"/>
          <w:sz w:val="24"/>
          <w:szCs w:val="24"/>
        </w:rPr>
        <w:t xml:space="preserve"> and </w:t>
      </w:r>
      <w:r w:rsidRPr="00606D67">
        <w:rPr>
          <w:rFonts w:ascii="Times New Roman" w:hAnsi="Times New Roman" w:cs="Times New Roman"/>
          <w:sz w:val="24"/>
          <w:szCs w:val="24"/>
        </w:rPr>
        <w:t xml:space="preserve">embedded in the real world.  This stands in contrast to statistics, math, and computer science where the focus is more abstract.  In these fields, data science is largely about constructing and fitting models.  Clinical data, on the other hand, is often messy and contradictory, abhorring generalizations and abstraction.  While abstraction can help to </w:t>
      </w:r>
      <w:r w:rsidRPr="00606D67">
        <w:rPr>
          <w:rFonts w:ascii="Times New Roman" w:eastAsia="Times New Roman" w:hAnsi="Times New Roman" w:cs="Times New Roman"/>
          <w:sz w:val="24"/>
          <w:szCs w:val="24"/>
        </w:rPr>
        <w:t xml:space="preserve">formulate a problem, it is an appreciation for the complexity of clinical research and an appreciation that exceptions can be nearly as important as rules that are required of computational scientists working in this field.  A data-driven approach to learning informed by messy data and interesting research questions – the way concepts are presented in data stories – aligns well with the realities of data analysis in precision </w:t>
      </w:r>
      <w:r w:rsidR="00097774">
        <w:rPr>
          <w:rFonts w:ascii="Times New Roman" w:eastAsia="Times New Roman" w:hAnsi="Times New Roman" w:cs="Times New Roman"/>
          <w:sz w:val="24"/>
          <w:szCs w:val="24"/>
        </w:rPr>
        <w:t xml:space="preserve">medicine and </w:t>
      </w:r>
      <w:r w:rsidRPr="00606D67">
        <w:rPr>
          <w:rFonts w:ascii="Times New Roman" w:eastAsia="Times New Roman" w:hAnsi="Times New Roman" w:cs="Times New Roman"/>
          <w:sz w:val="24"/>
          <w:szCs w:val="24"/>
        </w:rPr>
        <w:t>public health.</w:t>
      </w:r>
    </w:p>
    <w:p w14:paraId="22439CDD"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data stories share many commonalities with case-studies – content in both, for example, is packaged in a story container or narrative arc – there are important differences as well.  With data stories, the focus shifts to data analysis and/or the acquisition of the requisite technical skills to </w:t>
      </w:r>
      <w:r w:rsidRPr="00606D67">
        <w:rPr>
          <w:rFonts w:ascii="Times New Roman" w:eastAsia="Times New Roman" w:hAnsi="Times New Roman" w:cs="Times New Roman"/>
          <w:b/>
          <w:sz w:val="24"/>
          <w:szCs w:val="24"/>
        </w:rPr>
        <w:t>do</w:t>
      </w:r>
      <w:r w:rsidRPr="00606D67">
        <w:rPr>
          <w:rFonts w:ascii="Times New Roman" w:eastAsia="Times New Roman" w:hAnsi="Times New Roman" w:cs="Times New Roman"/>
          <w:sz w:val="24"/>
          <w:szCs w:val="24"/>
        </w:rPr>
        <w:t xml:space="preserve"> data analysis.  This is not the situation with case-studies where data may be present but is rarely the focus.  </w:t>
      </w:r>
    </w:p>
    <w:p w14:paraId="16E5A061"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data stories that distinguishes them from the traditional case-study.  The case-studies featured at the National Center for Case Study Teaching in Science website, for example, are offered in static containers – MS Word, PowerPoint, or Adobe.  The data stories created as part of this project, on the other hand, will be developed with open source tools such as </w:t>
      </w:r>
      <w:hyperlink r:id="rId6"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7"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Study participants will not need to have any prior programming experience.  In addition to a mini-course, participants will be given access to existing introductory R, Python and statistics </w:t>
      </w:r>
      <w:hyperlink r:id="rId8" w:history="1">
        <w:r w:rsidRPr="00606D67">
          <w:rPr>
            <w:rStyle w:val="Hyperlink"/>
            <w:rFonts w:ascii="Times New Roman" w:eastAsia="Times New Roman" w:hAnsi="Times New Roman" w:cs="Times New Roman"/>
            <w:sz w:val="24"/>
            <w:szCs w:val="24"/>
          </w:rPr>
          <w:t>MyDataStory</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classes.</w:t>
      </w:r>
    </w:p>
    <w:p w14:paraId="024677C4"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His articles and edited volumes are indispensable and provide a practical introduction to the art of case-study construction and teaching.  The center’s website features some 778 case-studies available to registered faculty.</w:t>
      </w:r>
    </w:p>
    <w:p w14:paraId="646D5B77" w14:textId="77777777" w:rsidR="00287FFD"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 xml:space="preserve">By contrast, studies that have examined the effectiveness of the case-study method in life science settings are minimal.  Even fewer studies have attempted to understand when, how, and why case-studies work from a student perspective.  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The research team anticipates that the data story instructional method will result in positive results, similar to those just reported. </w:t>
      </w:r>
    </w:p>
    <w:p w14:paraId="03B0C271" w14:textId="16C52B14" w:rsidR="004D46AD" w:rsidRDefault="00287FFD" w:rsidP="00757395">
      <w:pPr>
        <w:spacing w:after="0"/>
        <w:ind w:firstLine="576"/>
        <w:rPr>
          <w:rFonts w:ascii="Times New Roman" w:hAnsi="Times New Roman" w:cs="Times New Roman"/>
          <w:color w:val="365F91" w:themeColor="accent1" w:themeShade="BF"/>
          <w:sz w:val="24"/>
          <w:szCs w:val="24"/>
        </w:rPr>
      </w:pPr>
      <w:r w:rsidRPr="004D46AD">
        <w:rPr>
          <w:rFonts w:ascii="Times New Roman" w:hAnsi="Times New Roman" w:cs="Times New Roman"/>
          <w:color w:val="365F91" w:themeColor="accent1" w:themeShade="BF"/>
          <w:sz w:val="24"/>
          <w:szCs w:val="24"/>
        </w:rPr>
        <w:t xml:space="preserve">The question of the motivational efficacy of the data story lies at the heart of the research reported </w:t>
      </w:r>
      <w:r w:rsidR="008A42C6" w:rsidRPr="004D46AD">
        <w:rPr>
          <w:rFonts w:ascii="Times New Roman" w:hAnsi="Times New Roman" w:cs="Times New Roman"/>
          <w:color w:val="365F91" w:themeColor="accent1" w:themeShade="BF"/>
          <w:sz w:val="24"/>
          <w:szCs w:val="24"/>
        </w:rPr>
        <w:t>in this article</w:t>
      </w:r>
      <w:r w:rsidRPr="004D46AD">
        <w:rPr>
          <w:rFonts w:ascii="Times New Roman" w:hAnsi="Times New Roman" w:cs="Times New Roman"/>
          <w:color w:val="365F91" w:themeColor="accent1" w:themeShade="BF"/>
          <w:sz w:val="24"/>
          <w:szCs w:val="24"/>
        </w:rPr>
        <w:t xml:space="preserve">.  Educators have long recognized that motivation and engagement are </w:t>
      </w:r>
      <w:r w:rsidR="008A42C6" w:rsidRPr="004D46AD">
        <w:rPr>
          <w:rFonts w:ascii="Times New Roman" w:hAnsi="Times New Roman" w:cs="Times New Roman"/>
          <w:color w:val="365F91" w:themeColor="accent1" w:themeShade="BF"/>
          <w:sz w:val="24"/>
          <w:szCs w:val="24"/>
        </w:rPr>
        <w:t>key driv</w:t>
      </w:r>
      <w:r w:rsidR="004D46AD" w:rsidRPr="004D46AD">
        <w:rPr>
          <w:rFonts w:ascii="Times New Roman" w:hAnsi="Times New Roman" w:cs="Times New Roman"/>
          <w:color w:val="365F91" w:themeColor="accent1" w:themeShade="BF"/>
          <w:sz w:val="24"/>
          <w:szCs w:val="24"/>
        </w:rPr>
        <w:t xml:space="preserve">ers of student learning.  </w:t>
      </w:r>
      <w:r w:rsidR="00F31988" w:rsidRPr="004D46AD">
        <w:rPr>
          <w:rFonts w:ascii="Times New Roman" w:hAnsi="Times New Roman" w:cs="Times New Roman"/>
          <w:color w:val="365F91" w:themeColor="accent1" w:themeShade="BF"/>
          <w:sz w:val="24"/>
          <w:szCs w:val="24"/>
        </w:rPr>
        <w:t xml:space="preserve">Achieving either, however, </w:t>
      </w:r>
      <w:r w:rsidR="00FF50B1" w:rsidRPr="004D46AD">
        <w:rPr>
          <w:rFonts w:ascii="Times New Roman" w:hAnsi="Times New Roman" w:cs="Times New Roman"/>
          <w:color w:val="365F91" w:themeColor="accent1" w:themeShade="BF"/>
          <w:sz w:val="24"/>
          <w:szCs w:val="24"/>
        </w:rPr>
        <w:t>entails</w:t>
      </w:r>
      <w:r w:rsidR="00F31988" w:rsidRPr="004D46AD">
        <w:rPr>
          <w:rFonts w:ascii="Times New Roman" w:hAnsi="Times New Roman" w:cs="Times New Roman"/>
          <w:color w:val="365F91" w:themeColor="accent1" w:themeShade="BF"/>
          <w:sz w:val="24"/>
          <w:szCs w:val="24"/>
        </w:rPr>
        <w:t xml:space="preserve"> </w:t>
      </w:r>
      <w:r w:rsidR="00151D25" w:rsidRPr="004D46AD">
        <w:rPr>
          <w:rFonts w:ascii="Times New Roman" w:hAnsi="Times New Roman" w:cs="Times New Roman"/>
          <w:color w:val="365F91" w:themeColor="accent1" w:themeShade="BF"/>
          <w:sz w:val="24"/>
          <w:szCs w:val="24"/>
        </w:rPr>
        <w:t xml:space="preserve">some </w:t>
      </w:r>
      <w:r w:rsidR="00763204" w:rsidRPr="004D46AD">
        <w:rPr>
          <w:rFonts w:ascii="Times New Roman" w:hAnsi="Times New Roman" w:cs="Times New Roman"/>
          <w:color w:val="365F91" w:themeColor="accent1" w:themeShade="BF"/>
          <w:sz w:val="24"/>
          <w:szCs w:val="24"/>
        </w:rPr>
        <w:t xml:space="preserve">level of </w:t>
      </w:r>
      <w:r w:rsidR="00FF50B1" w:rsidRPr="004D46AD">
        <w:rPr>
          <w:rFonts w:ascii="Times New Roman" w:hAnsi="Times New Roman" w:cs="Times New Roman"/>
          <w:color w:val="365F91" w:themeColor="accent1" w:themeShade="BF"/>
          <w:sz w:val="24"/>
          <w:szCs w:val="24"/>
        </w:rPr>
        <w:t>emotional involvement</w:t>
      </w:r>
      <w:r w:rsidR="003E47C7" w:rsidRPr="004D46AD">
        <w:rPr>
          <w:rFonts w:ascii="Times New Roman" w:hAnsi="Times New Roman" w:cs="Times New Roman"/>
          <w:color w:val="365F91" w:themeColor="accent1" w:themeShade="BF"/>
          <w:sz w:val="24"/>
          <w:szCs w:val="24"/>
        </w:rPr>
        <w:t xml:space="preserve"> on the part of the student.  </w:t>
      </w:r>
    </w:p>
    <w:p w14:paraId="66FF5209" w14:textId="4ABEDE79" w:rsidR="00A56DA8" w:rsidRDefault="004D46AD" w:rsidP="00757395">
      <w:pPr>
        <w:spacing w:after="0"/>
        <w:ind w:firstLine="576"/>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 xml:space="preserve">At </w:t>
      </w:r>
      <w:r w:rsidR="001C5643">
        <w:rPr>
          <w:rFonts w:ascii="Times New Roman" w:hAnsi="Times New Roman" w:cs="Times New Roman"/>
          <w:color w:val="365F91" w:themeColor="accent1" w:themeShade="BF"/>
          <w:sz w:val="24"/>
          <w:szCs w:val="24"/>
        </w:rPr>
        <w:t>the neurological</w:t>
      </w:r>
      <w:r>
        <w:rPr>
          <w:rFonts w:ascii="Times New Roman" w:hAnsi="Times New Roman" w:cs="Times New Roman"/>
          <w:color w:val="365F91" w:themeColor="accent1" w:themeShade="BF"/>
          <w:sz w:val="24"/>
          <w:szCs w:val="24"/>
        </w:rPr>
        <w:t xml:space="preserve"> level, Richter-Levin and Akirav (2003) have advanced the Emotional Tagging concept</w:t>
      </w:r>
      <w:r w:rsidR="00A56DA8">
        <w:rPr>
          <w:rFonts w:ascii="Times New Roman" w:hAnsi="Times New Roman" w:cs="Times New Roman"/>
          <w:color w:val="365F91" w:themeColor="accent1" w:themeShade="BF"/>
          <w:sz w:val="24"/>
          <w:szCs w:val="24"/>
        </w:rPr>
        <w:t>.  They suggest that the “amygdala ‘marks’ an emotionally charged experience as important by strengthening of synapses located on neurons that have just been activated in another brain-memory system engaged in the learning situation” (p. 248).</w:t>
      </w:r>
    </w:p>
    <w:p w14:paraId="17699E5A" w14:textId="49ECA6BB" w:rsidR="00C234FB" w:rsidRDefault="00C234FB" w:rsidP="00757395">
      <w:pPr>
        <w:spacing w:after="0"/>
        <w:ind w:firstLine="576"/>
        <w:rPr>
          <w:rFonts w:ascii="Times New Roman" w:hAnsi="Times New Roman" w:cs="Times New Roman"/>
          <w:color w:val="365F91" w:themeColor="accent1" w:themeShade="BF"/>
          <w:sz w:val="24"/>
          <w:szCs w:val="24"/>
        </w:rPr>
      </w:pPr>
      <w:r w:rsidRPr="004D46AD">
        <w:rPr>
          <w:rFonts w:ascii="Times New Roman" w:hAnsi="Times New Roman" w:cs="Times New Roman"/>
          <w:color w:val="365F91" w:themeColor="accent1" w:themeShade="BF"/>
          <w:sz w:val="24"/>
          <w:szCs w:val="24"/>
        </w:rPr>
        <w:t>Indeed, the importance of emotion in the learning process has received increasing attention in the literature (Herreid et al. 2014).</w:t>
      </w:r>
      <w:r>
        <w:rPr>
          <w:rFonts w:ascii="Times New Roman" w:hAnsi="Times New Roman" w:cs="Times New Roman"/>
          <w:color w:val="365F91" w:themeColor="accent1" w:themeShade="BF"/>
          <w:sz w:val="24"/>
          <w:szCs w:val="24"/>
        </w:rPr>
        <w:t xml:space="preserve">  </w:t>
      </w:r>
    </w:p>
    <w:p w14:paraId="7CCE7833" w14:textId="5CF9330A" w:rsidR="004D46AD" w:rsidRPr="004D46AD" w:rsidRDefault="004D46AD" w:rsidP="00832EFE">
      <w:pPr>
        <w:spacing w:after="0"/>
        <w:rPr>
          <w:rFonts w:ascii="Times New Roman" w:hAnsi="Times New Roman" w:cs="Times New Roman"/>
          <w:color w:val="365F91" w:themeColor="accent1" w:themeShade="BF"/>
          <w:sz w:val="24"/>
          <w:szCs w:val="24"/>
        </w:rPr>
      </w:pPr>
      <w:bookmarkStart w:id="0" w:name="_GoBack"/>
      <w:bookmarkEnd w:id="0"/>
    </w:p>
    <w:p w14:paraId="7F6E335F" w14:textId="77777777"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14:paraId="41B5CD9B" w14:textId="77777777" w:rsidR="00007584" w:rsidRPr="00606D67"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 </w:t>
      </w:r>
    </w:p>
    <w:p w14:paraId="2515CAFB"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Innovation/Potential Impact</w:t>
      </w:r>
    </w:p>
    <w:p w14:paraId="5018D4C0" w14:textId="77777777" w:rsidR="00007584" w:rsidRPr="00606D67" w:rsidRDefault="00007584" w:rsidP="00794AFB">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As noted earlier, the data story is a pedagogical innovation that shares many similarities with the case-study method of instruction.  The data story, however, has unique properties which distinguish it from similar approaches.  These unique properties – a high level of interactivity, for example – creates new ways to engage students and impact learning outcomes.</w:t>
      </w:r>
    </w:p>
    <w:p w14:paraId="63A6B439" w14:textId="77777777" w:rsidR="00007584" w:rsidRPr="00606D67"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data story approach to precision public health education is likely to improve student technical and communication skills.  A pedagogical approach grounded in stories also allows CTS professionals to develop and practice emerging skills in the context of topics that are both more engaging and relatable than the abstract examples typically employed in technical education settings.  And finally – rather than present technical skills in isolation – the “data story” approach enables learners to understand how these skills can be jointly used to solve a particular problem while also, due to the availability of the auxiliary material, enabling skills to be more thoroughly learned on demand.   As well, data stories will lend themselves to being </w:t>
      </w:r>
      <w:r w:rsidRPr="00606D67">
        <w:rPr>
          <w:rFonts w:ascii="Times New Roman" w:hAnsi="Times New Roman" w:cs="Times New Roman"/>
          <w:sz w:val="24"/>
          <w:szCs w:val="24"/>
        </w:rPr>
        <w:lastRenderedPageBreak/>
        <w:t>translational vectors. That is, the inherent accessibility of data stories makes them an ideal choice for delivering multimedia prevention and intervention messages to a broader audience, including patients, journalists, and science communication professionals in related fields.</w:t>
      </w:r>
    </w:p>
    <w:p w14:paraId="0D5CCCD2" w14:textId="77777777" w:rsidR="00007584"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This is a new and unexplored line of pedagogical inquiry.  The College of Pharmacy’s Video Production Services Department will be an ideal partner, assisting the research team in its exploration of innovative ways to communicate complex data science concepts and ideas.  The department is a proven innovator, having pioneered the development and use of explanatory and interactive videos across campus. </w:t>
      </w:r>
    </w:p>
    <w:p w14:paraId="3C2A4D29" w14:textId="77777777" w:rsidR="00097774" w:rsidRPr="00606D67" w:rsidRDefault="00097774" w:rsidP="00097774">
      <w:pPr>
        <w:spacing w:after="0"/>
        <w:ind w:firstLine="576"/>
        <w:rPr>
          <w:rFonts w:ascii="Times New Roman" w:hAnsi="Times New Roman" w:cs="Times New Roman"/>
          <w:sz w:val="24"/>
          <w:szCs w:val="24"/>
        </w:rPr>
      </w:pPr>
    </w:p>
    <w:p w14:paraId="4F145107"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14:paraId="59755448" w14:textId="77777777"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14:paraId="052F26BA" w14:textId="77777777"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(These questions are directly linked to objective one in the </w:t>
      </w:r>
      <w:r w:rsidRPr="00606D67">
        <w:rPr>
          <w:rFonts w:ascii="Times New Roman" w:eastAsia="Times New Roman" w:hAnsi="Times New Roman" w:cs="Times New Roman"/>
          <w:i/>
          <w:sz w:val="24"/>
          <w:szCs w:val="24"/>
        </w:rPr>
        <w:t>Specific Aims/Objectives</w:t>
      </w:r>
      <w:r w:rsidRPr="00606D67">
        <w:rPr>
          <w:rFonts w:ascii="Times New Roman" w:eastAsia="Times New Roman" w:hAnsi="Times New Roman" w:cs="Times New Roman"/>
          <w:sz w:val="24"/>
          <w:szCs w:val="24"/>
        </w:rPr>
        <w:t xml:space="preserve"> section – Research the Efficacy of the Data Story as a Precision Public Health Learning Tool.)</w:t>
      </w:r>
    </w:p>
    <w:p w14:paraId="7CED5581" w14:textId="77777777" w:rsidR="00007584" w:rsidRPr="00606D67" w:rsidRDefault="00007584" w:rsidP="00007584">
      <w:pPr>
        <w:pStyle w:val="ListParagraph"/>
        <w:ind w:left="360"/>
        <w:rPr>
          <w:rFonts w:ascii="Times New Roman" w:hAnsi="Times New Roman" w:cs="Times New Roman"/>
          <w:sz w:val="24"/>
          <w:szCs w:val="24"/>
        </w:rPr>
      </w:pPr>
    </w:p>
    <w:p w14:paraId="37F62EF3" w14:textId="77777777" w:rsidR="00007584" w:rsidRDefault="00007584" w:rsidP="00007584">
      <w:pPr>
        <w:pStyle w:val="ListParagraph"/>
        <w:numPr>
          <w:ilvl w:val="0"/>
          <w:numId w:val="4"/>
        </w:numPr>
        <w:spacing w:after="0" w:line="240" w:lineRule="auto"/>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What features of a data story approach elicit the necessary thinking processes to understand precision public health issues and concepts?</w:t>
      </w:r>
    </w:p>
    <w:p w14:paraId="7A73E821" w14:textId="77777777" w:rsidR="00DD7809" w:rsidRPr="00606D67" w:rsidRDefault="00DD7809" w:rsidP="00DD7809">
      <w:pPr>
        <w:pStyle w:val="ListParagraph"/>
        <w:spacing w:after="0" w:line="240" w:lineRule="auto"/>
        <w:rPr>
          <w:rFonts w:ascii="Times New Roman" w:eastAsia="Times New Roman" w:hAnsi="Times New Roman" w:cs="Times New Roman"/>
          <w:sz w:val="24"/>
          <w:szCs w:val="24"/>
        </w:rPr>
      </w:pPr>
    </w:p>
    <w:p w14:paraId="4B9D419C"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appeal to wide and diverse audiences?</w:t>
      </w:r>
    </w:p>
    <w:p w14:paraId="6AEACED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Are students motivated to a greater degree when content is delivered in a story?</w:t>
      </w:r>
    </w:p>
    <w:p w14:paraId="4D0D1D43"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activate foundational reasoning processes?</w:t>
      </w:r>
    </w:p>
    <w:p w14:paraId="0B287E9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defines the experiences of students with the data story approach and how does a student’s academic and cultural background impact that experience?</w:t>
      </w:r>
    </w:p>
    <w:p w14:paraId="2B8C316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features of the learning environment support positive student experiences with the data story instructional method and elicit the necessary thinking processes for understanding data science?</w:t>
      </w:r>
    </w:p>
    <w:p w14:paraId="3C4F32A0"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usable is the data story method of instruction at imparting clinical translational to the research workforce?</w:t>
      </w:r>
    </w:p>
    <w:p w14:paraId="4555FC8A"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usability factors ought to inform the creation of data story learning experiences?</w:t>
      </w:r>
    </w:p>
    <w:p w14:paraId="0EC620DD" w14:textId="77777777" w:rsidR="00007584" w:rsidRPr="00606D67" w:rsidRDefault="00007584" w:rsidP="00007584">
      <w:pPr>
        <w:pStyle w:val="ListParagraph"/>
        <w:ind w:left="1080"/>
        <w:rPr>
          <w:rFonts w:ascii="Times New Roman" w:hAnsi="Times New Roman" w:cs="Times New Roman"/>
          <w:sz w:val="24"/>
          <w:szCs w:val="24"/>
        </w:rPr>
      </w:pPr>
    </w:p>
    <w:p w14:paraId="61E772E2" w14:textId="77777777" w:rsidR="00007584" w:rsidRPr="00606D67" w:rsidRDefault="00007584" w:rsidP="0000758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14:paraId="072F3593" w14:textId="77777777"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9"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The goals for usability testing will include: a) participant’s perspective on usefulness, satisfaction and ease-of use, and b) usability issues (e.g., problematic behaviors, frustration, misinterpretations). We will use pre and post surveys and interviews to analyze study participant expectations and how these goals and expectations are met as a result of the data story way of instruction.</w:t>
      </w:r>
    </w:p>
    <w:p w14:paraId="39270A57" w14:textId="77777777" w:rsidR="000716EB" w:rsidRDefault="000716EB">
      <w:pPr>
        <w:rPr>
          <w:rFonts w:ascii="Times New Roman" w:hAnsi="Times New Roman" w:cs="Times New Roman"/>
          <w:i/>
          <w:sz w:val="24"/>
          <w:szCs w:val="24"/>
        </w:rPr>
      </w:pPr>
      <w:r>
        <w:rPr>
          <w:rFonts w:ascii="Times New Roman" w:hAnsi="Times New Roman" w:cs="Times New Roman"/>
          <w:i/>
          <w:sz w:val="24"/>
          <w:szCs w:val="24"/>
        </w:rPr>
        <w:br w:type="page"/>
      </w:r>
    </w:p>
    <w:p w14:paraId="1A2EB5E6" w14:textId="77777777" w:rsidR="00007584" w:rsidRPr="00606D67" w:rsidRDefault="00007584"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14:paraId="0D04EFDB" w14:textId="77777777" w:rsidR="001A69B2" w:rsidRPr="00380CEF" w:rsidRDefault="001A69B2" w:rsidP="001A69B2">
      <w:pPr>
        <w:spacing w:after="0" w:line="240" w:lineRule="auto"/>
        <w:rPr>
          <w:rFonts w:ascii="Times New Roman" w:hAnsi="Times New Roman" w:cs="Times New Roman"/>
          <w:i/>
          <w:sz w:val="24"/>
          <w:szCs w:val="24"/>
        </w:rPr>
      </w:pPr>
      <w:r w:rsidRPr="00380CEF">
        <w:rPr>
          <w:rFonts w:ascii="Times New Roman" w:hAnsi="Times New Roman" w:cs="Times New Roman"/>
          <w:i/>
          <w:sz w:val="24"/>
          <w:szCs w:val="24"/>
        </w:rPr>
        <w:t>Quotes</w:t>
      </w:r>
    </w:p>
    <w:p w14:paraId="117259FC" w14:textId="77777777" w:rsidR="001A69B2" w:rsidRPr="00380CEF" w:rsidRDefault="001A69B2" w:rsidP="001A69B2">
      <w:pPr>
        <w:spacing w:after="0" w:line="240" w:lineRule="auto"/>
        <w:rPr>
          <w:rFonts w:ascii="Times New Roman" w:hAnsi="Times New Roman" w:cs="Times New Roman"/>
          <w:i/>
          <w:sz w:val="24"/>
          <w:szCs w:val="24"/>
        </w:rPr>
      </w:pPr>
    </w:p>
    <w:p w14:paraId="6AF2DF94" w14:textId="77777777" w:rsidR="001A69B2" w:rsidRPr="00380CEF" w:rsidRDefault="001A69B2" w:rsidP="006A1126">
      <w:pPr>
        <w:spacing w:after="0"/>
        <w:rPr>
          <w:rFonts w:ascii="Times New Roman" w:hAnsi="Times New Roman" w:cs="Times New Roman"/>
          <w:sz w:val="24"/>
          <w:szCs w:val="24"/>
        </w:rPr>
      </w:pPr>
      <w:r w:rsidRPr="00380CEF">
        <w:rPr>
          <w:rFonts w:ascii="Times New Roman" w:hAnsi="Times New Roman" w:cs="Times New Roman"/>
          <w:sz w:val="24"/>
          <w:szCs w:val="24"/>
        </w:rPr>
        <w:tab/>
        <w:t xml:space="preserve">We love the tangible, the confirmation, the palpable, the real, the visible, the concrete, the known, the seen, the vivid, the visual, the social, the embedded, the emotionally laden … Most of all we favor </w:t>
      </w:r>
      <w:r w:rsidRPr="00380CEF">
        <w:rPr>
          <w:rFonts w:ascii="Times New Roman" w:hAnsi="Times New Roman" w:cs="Times New Roman"/>
          <w:i/>
          <w:sz w:val="24"/>
          <w:szCs w:val="24"/>
        </w:rPr>
        <w:t>the narrated.</w:t>
      </w:r>
    </w:p>
    <w:p w14:paraId="0278121A" w14:textId="77777777" w:rsidR="001A69B2" w:rsidRPr="00380CEF" w:rsidRDefault="001A69B2" w:rsidP="006A1126">
      <w:pPr>
        <w:spacing w:after="0"/>
        <w:ind w:firstLine="720"/>
        <w:rPr>
          <w:rFonts w:ascii="Times New Roman" w:hAnsi="Times New Roman" w:cs="Times New Roman"/>
          <w:sz w:val="24"/>
          <w:szCs w:val="24"/>
        </w:rPr>
      </w:pPr>
      <w:r w:rsidRPr="00380CEF">
        <w:rPr>
          <w:rFonts w:ascii="Times New Roman" w:hAnsi="Times New Roman" w:cs="Times New Roman"/>
          <w:sz w:val="24"/>
          <w:szCs w:val="24"/>
        </w:rPr>
        <w:t>Alas, we are not manufactured, in our current edition of the human race, to understand abstract matters – we need context (Taleb, 2007, p. 132).</w:t>
      </w:r>
    </w:p>
    <w:p w14:paraId="535B211F" w14:textId="77777777" w:rsidR="001A69B2" w:rsidRPr="00380CEF" w:rsidRDefault="001A69B2" w:rsidP="001A69B2">
      <w:pPr>
        <w:spacing w:after="0" w:line="240" w:lineRule="auto"/>
        <w:ind w:firstLine="720"/>
        <w:rPr>
          <w:rFonts w:ascii="Times New Roman" w:hAnsi="Times New Roman" w:cs="Times New Roman"/>
          <w:sz w:val="24"/>
          <w:szCs w:val="24"/>
        </w:rPr>
      </w:pPr>
    </w:p>
    <w:p w14:paraId="6A128C83" w14:textId="77777777" w:rsidR="006A1126" w:rsidRPr="00380CEF" w:rsidRDefault="006A1126" w:rsidP="00A62699">
      <w:pPr>
        <w:spacing w:after="0"/>
        <w:ind w:firstLine="720"/>
        <w:rPr>
          <w:rFonts w:ascii="Times New Roman" w:hAnsi="Times New Roman" w:cs="Times New Roman"/>
          <w:sz w:val="24"/>
          <w:szCs w:val="24"/>
        </w:rPr>
      </w:pPr>
      <w:r w:rsidRPr="00380CEF">
        <w:rPr>
          <w:rFonts w:ascii="Times New Roman" w:hAnsi="Times New Roman" w:cs="Times New Roman"/>
          <w:sz w:val="24"/>
          <w:szCs w:val="24"/>
        </w:rPr>
        <w:t>If I have a set of 200 random variables, completely unrelated to each other, then it would be near impossible not to find in it a high correlation of sorts, say 30 percent, but that is entirely spurious (Taleb, 2012, p. 418).</w:t>
      </w:r>
    </w:p>
    <w:p w14:paraId="64A55DCC" w14:textId="77777777"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14:paraId="370C3DA4" w14:textId="77777777"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14:paraId="6BA590F2" w14:textId="77777777"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14:paraId="49B681FC"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79A573F0"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14:paraId="5B5DC4C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7522902"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10"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14:paraId="65FC0618"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082B4CB"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14:paraId="015E7CB5"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20E2DEA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Research Design: Qualitative, quantitative, and mixed methods approaches.</w:t>
      </w:r>
      <w:r w:rsidRPr="000B7E40">
        <w:rPr>
          <w:rFonts w:ascii="Times New Roman" w:hAnsi="Times New Roman" w:cs="Times New Roman"/>
          <w:sz w:val="24"/>
          <w:szCs w:val="24"/>
          <w:shd w:val="clear" w:color="auto" w:fill="FFFFFF"/>
        </w:rPr>
        <w:t xml:space="preserve"> Thousand Oaks, CA: Sage.</w:t>
      </w:r>
    </w:p>
    <w:p w14:paraId="3A83AD24"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68961D9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14:paraId="61F96A51"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8707E11"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1" w:history="1">
        <w:r w:rsidRPr="000B7E40">
          <w:rPr>
            <w:rStyle w:val="Hyperlink"/>
            <w:rFonts w:ascii="Times New Roman" w:hAnsi="Times New Roman" w:cs="Times New Roman"/>
            <w:sz w:val="24"/>
            <w:szCs w:val="24"/>
          </w:rPr>
          <w:t>http://nap.edu/9457</w:t>
        </w:r>
      </w:hyperlink>
    </w:p>
    <w:p w14:paraId="4EA1277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7730F04"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14:paraId="3413D4AF"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7D31B4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14:paraId="78CB887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33EB391"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14:paraId="077B8B09" w14:textId="77777777" w:rsidR="000B7E40" w:rsidRPr="000B7E40" w:rsidRDefault="000B7E40" w:rsidP="000B7E40">
      <w:pPr>
        <w:pStyle w:val="EndNoteBibliography"/>
        <w:ind w:left="720" w:hanging="720"/>
        <w:rPr>
          <w:rFonts w:ascii="Times New Roman" w:hAnsi="Times New Roman" w:cs="Times New Roman"/>
        </w:rPr>
      </w:pPr>
    </w:p>
    <w:p w14:paraId="29918514"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14:paraId="4EAB1B91" w14:textId="77777777" w:rsidR="000B7E40" w:rsidRPr="000B7E40" w:rsidRDefault="000B7E40" w:rsidP="000B7E40">
      <w:pPr>
        <w:pStyle w:val="EndNoteBibliography"/>
        <w:ind w:left="720" w:hanging="720"/>
        <w:rPr>
          <w:rFonts w:ascii="Times New Roman" w:hAnsi="Times New Roman" w:cs="Times New Roman"/>
        </w:rPr>
      </w:pPr>
    </w:p>
    <w:p w14:paraId="154D7893"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14:paraId="58174C4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0D65EC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14:paraId="0AFF562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0991028"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14:paraId="0B0D76EC"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E97EB8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14:paraId="4533EE21"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44333C6" w14:textId="77777777"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14:paraId="51263BE6"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2D4C1E4" w14:textId="77777777"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14:paraId="771F31C6" w14:textId="77777777"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2" w:history="1">
        <w:r w:rsidRPr="000B7E40">
          <w:rPr>
            <w:rStyle w:val="Hyperlink"/>
          </w:rPr>
          <w:t>http://www.cica.indiana.edu/cscl95/jonassen.html</w:t>
        </w:r>
      </w:hyperlink>
    </w:p>
    <w:p w14:paraId="02C572FE" w14:textId="77777777" w:rsidR="000B7E40" w:rsidRPr="000B7E40" w:rsidRDefault="000B7E40" w:rsidP="000B7E40">
      <w:pPr>
        <w:pStyle w:val="NormalWeb"/>
        <w:spacing w:before="0" w:beforeAutospacing="0" w:after="0" w:afterAutospacing="0"/>
      </w:pPr>
    </w:p>
    <w:p w14:paraId="6BD929B3" w14:textId="77777777" w:rsidR="00BA5E3A" w:rsidRDefault="000B7E40" w:rsidP="000B7E40">
      <w:pPr>
        <w:pStyle w:val="NormalWeb"/>
        <w:spacing w:before="0" w:beforeAutospacing="0" w:after="0" w:afterAutospacing="0"/>
      </w:pPr>
      <w:r w:rsidRPr="000B7E40">
        <w:t>Marton, F. (1986). Phenomenography: A research approach to investigating different</w:t>
      </w:r>
    </w:p>
    <w:p w14:paraId="0521B769" w14:textId="77777777"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14:paraId="7985F99A" w14:textId="77777777" w:rsidR="000B7E40" w:rsidRPr="00BA5E3A" w:rsidRDefault="00BA5E3A" w:rsidP="00BA5E3A">
      <w:pPr>
        <w:pStyle w:val="NormalWeb"/>
        <w:spacing w:before="0" w:beforeAutospacing="0" w:after="0" w:afterAutospacing="0"/>
        <w:rPr>
          <w:rStyle w:val="Hyperlink"/>
          <w:color w:val="auto"/>
          <w:u w:val="none"/>
        </w:rPr>
      </w:pPr>
      <w:r>
        <w:t xml:space="preserve">         </w:t>
      </w:r>
      <w:hyperlink r:id="rId13" w:history="1">
        <w:r w:rsidRPr="00412451">
          <w:rPr>
            <w:rStyle w:val="Hyperlink"/>
          </w:rPr>
          <w:t>https://www.jstor.org/stable/42589189</w:t>
        </w:r>
      </w:hyperlink>
    </w:p>
    <w:p w14:paraId="23C58D92" w14:textId="77777777" w:rsidR="000B7E40" w:rsidRPr="000B7E40" w:rsidRDefault="000B7E40" w:rsidP="000B7E40">
      <w:pPr>
        <w:pStyle w:val="NormalWeb"/>
        <w:spacing w:before="0" w:beforeAutospacing="0" w:after="0" w:afterAutospacing="0"/>
      </w:pPr>
    </w:p>
    <w:p w14:paraId="6CD4E0F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14:paraId="3DC87100"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DA3E93C"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14:paraId="243793A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327C330"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14:paraId="2777BC4A"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77F3109" w14:textId="77777777"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14:paraId="2589020F" w14:textId="77777777"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14:paraId="1420C07C"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14:paraId="47851004"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14:paraId="56C4416B" w14:textId="77777777"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14:paraId="420E892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42B06A7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14:paraId="04F24F00"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14:paraId="5ECD63B4"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14:paraId="0876CCC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09AC6B5" w14:textId="77777777"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14:paraId="5CC5F47B"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14:paraId="3140EDA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2E9C06A" w14:textId="77777777"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14:paraId="7C876471" w14:textId="77777777"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14:paraId="71253D42" w14:textId="77777777"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proofErr w:type="spellStart"/>
      <w:r>
        <w:rPr>
          <w:rFonts w:ascii="Times New Roman" w:hAnsi="Times New Roman" w:cs="Times New Roman"/>
          <w:i/>
          <w:sz w:val="24"/>
          <w:szCs w:val="24"/>
        </w:rPr>
        <w:t>Antifragile</w:t>
      </w:r>
      <w:proofErr w:type="spellEnd"/>
      <w:r>
        <w:rPr>
          <w:rFonts w:ascii="Times New Roman" w:hAnsi="Times New Roman" w:cs="Times New Roman"/>
          <w:i/>
          <w:sz w:val="24"/>
          <w:szCs w:val="24"/>
        </w:rPr>
        <w:t>: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14:paraId="3CABF0B5" w14:textId="77777777"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14:paraId="2B3E209A" w14:textId="77777777"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14:paraId="09758D6A"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14:paraId="7DBECA5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1B65333D" w14:textId="77777777"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14:paraId="146B7784"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14:paraId="79D4B9F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70EE858D"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14:paraId="0986702E"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14:paraId="058A553A"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6F4549C"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14:paraId="065EA38A"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14:paraId="77B4A7D1"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14:paraId="6896F01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185833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14:paraId="7A088FA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14:paraId="357CDBDB"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14:paraId="120B3741"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353722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14:paraId="434F558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14:paraId="5591E71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14:paraId="595AB079"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730F35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14:paraId="7BF515B7"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14:paraId="044F1302"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14:paraId="6898DB36" w14:textId="77777777" w:rsidR="00DC41DD" w:rsidRDefault="00DC41DD" w:rsidP="000B7E40">
      <w:pPr>
        <w:shd w:val="clear" w:color="auto" w:fill="FFFFFF"/>
        <w:spacing w:after="0" w:line="240" w:lineRule="auto"/>
        <w:ind w:right="525"/>
        <w:rPr>
          <w:rFonts w:ascii="Times New Roman" w:hAnsi="Times New Roman" w:cs="Times New Roman"/>
          <w:iCs/>
          <w:sz w:val="24"/>
          <w:szCs w:val="24"/>
        </w:rPr>
      </w:pPr>
    </w:p>
    <w:p w14:paraId="4B1E9C41" w14:textId="77777777"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14:paraId="705D4A31" w14:textId="77777777"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14:paraId="45F43F2C" w14:textId="77777777"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14:paraId="4628611D" w14:textId="77777777"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14:paraId="16225F1E" w14:textId="77777777"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07584"/>
    <w:rsid w:val="00011B4B"/>
    <w:rsid w:val="00025DF0"/>
    <w:rsid w:val="0002653A"/>
    <w:rsid w:val="000318D0"/>
    <w:rsid w:val="0003512D"/>
    <w:rsid w:val="00036156"/>
    <w:rsid w:val="0004109C"/>
    <w:rsid w:val="00042C0E"/>
    <w:rsid w:val="00056F09"/>
    <w:rsid w:val="00062FA3"/>
    <w:rsid w:val="000716EB"/>
    <w:rsid w:val="000761E6"/>
    <w:rsid w:val="00080FC5"/>
    <w:rsid w:val="00082BA4"/>
    <w:rsid w:val="0008631D"/>
    <w:rsid w:val="00090ED9"/>
    <w:rsid w:val="0009740B"/>
    <w:rsid w:val="00097774"/>
    <w:rsid w:val="00097DEE"/>
    <w:rsid w:val="000A0CDA"/>
    <w:rsid w:val="000A396D"/>
    <w:rsid w:val="000A5028"/>
    <w:rsid w:val="000B7A0B"/>
    <w:rsid w:val="000B7E40"/>
    <w:rsid w:val="000C41E9"/>
    <w:rsid w:val="000C748E"/>
    <w:rsid w:val="000C77E2"/>
    <w:rsid w:val="000D3AC5"/>
    <w:rsid w:val="000D54C0"/>
    <w:rsid w:val="000D777B"/>
    <w:rsid w:val="000E2159"/>
    <w:rsid w:val="000E3639"/>
    <w:rsid w:val="000E5D4C"/>
    <w:rsid w:val="000E6C95"/>
    <w:rsid w:val="000F7978"/>
    <w:rsid w:val="001037C5"/>
    <w:rsid w:val="001050A3"/>
    <w:rsid w:val="00106811"/>
    <w:rsid w:val="0010694E"/>
    <w:rsid w:val="0011218E"/>
    <w:rsid w:val="00121E88"/>
    <w:rsid w:val="00141BDF"/>
    <w:rsid w:val="00151399"/>
    <w:rsid w:val="00151D25"/>
    <w:rsid w:val="001562B8"/>
    <w:rsid w:val="00156DE8"/>
    <w:rsid w:val="00157D06"/>
    <w:rsid w:val="00167B72"/>
    <w:rsid w:val="00197C90"/>
    <w:rsid w:val="001A69B2"/>
    <w:rsid w:val="001A6DF2"/>
    <w:rsid w:val="001B6016"/>
    <w:rsid w:val="001C08DB"/>
    <w:rsid w:val="001C55D7"/>
    <w:rsid w:val="001C5643"/>
    <w:rsid w:val="001D5B15"/>
    <w:rsid w:val="001D61A0"/>
    <w:rsid w:val="001F37EF"/>
    <w:rsid w:val="00206D36"/>
    <w:rsid w:val="002204C0"/>
    <w:rsid w:val="00221A38"/>
    <w:rsid w:val="00222B0C"/>
    <w:rsid w:val="00224908"/>
    <w:rsid w:val="00234EE8"/>
    <w:rsid w:val="00236420"/>
    <w:rsid w:val="002368CF"/>
    <w:rsid w:val="00237587"/>
    <w:rsid w:val="00242D54"/>
    <w:rsid w:val="00245954"/>
    <w:rsid w:val="00246D9F"/>
    <w:rsid w:val="00262D6C"/>
    <w:rsid w:val="00270C88"/>
    <w:rsid w:val="00285ADA"/>
    <w:rsid w:val="00287FFD"/>
    <w:rsid w:val="002A150A"/>
    <w:rsid w:val="002B0276"/>
    <w:rsid w:val="002C3E76"/>
    <w:rsid w:val="002C41F1"/>
    <w:rsid w:val="002C4603"/>
    <w:rsid w:val="002D3960"/>
    <w:rsid w:val="002E1D50"/>
    <w:rsid w:val="002E2D14"/>
    <w:rsid w:val="002E36C3"/>
    <w:rsid w:val="002E586E"/>
    <w:rsid w:val="002F53D9"/>
    <w:rsid w:val="0030307A"/>
    <w:rsid w:val="00311645"/>
    <w:rsid w:val="00314A22"/>
    <w:rsid w:val="00314B1D"/>
    <w:rsid w:val="0032371A"/>
    <w:rsid w:val="00327321"/>
    <w:rsid w:val="0034351A"/>
    <w:rsid w:val="0034562E"/>
    <w:rsid w:val="003540B0"/>
    <w:rsid w:val="00356A22"/>
    <w:rsid w:val="003641E9"/>
    <w:rsid w:val="003652C0"/>
    <w:rsid w:val="00367E8B"/>
    <w:rsid w:val="00371FAB"/>
    <w:rsid w:val="003769E8"/>
    <w:rsid w:val="00380164"/>
    <w:rsid w:val="00380CEF"/>
    <w:rsid w:val="0038492D"/>
    <w:rsid w:val="00387390"/>
    <w:rsid w:val="003A1836"/>
    <w:rsid w:val="003A3D55"/>
    <w:rsid w:val="003A4E98"/>
    <w:rsid w:val="003A5BA2"/>
    <w:rsid w:val="003B1148"/>
    <w:rsid w:val="003B21D4"/>
    <w:rsid w:val="003B2C61"/>
    <w:rsid w:val="003B339F"/>
    <w:rsid w:val="003C106B"/>
    <w:rsid w:val="003C20B6"/>
    <w:rsid w:val="003C6CEB"/>
    <w:rsid w:val="003E47C7"/>
    <w:rsid w:val="00412595"/>
    <w:rsid w:val="00417A83"/>
    <w:rsid w:val="00417C19"/>
    <w:rsid w:val="00422452"/>
    <w:rsid w:val="0042476D"/>
    <w:rsid w:val="0043052A"/>
    <w:rsid w:val="00436FC7"/>
    <w:rsid w:val="00440CAA"/>
    <w:rsid w:val="004568F8"/>
    <w:rsid w:val="00457F49"/>
    <w:rsid w:val="00461D5E"/>
    <w:rsid w:val="00463648"/>
    <w:rsid w:val="0046445A"/>
    <w:rsid w:val="0046517F"/>
    <w:rsid w:val="00467275"/>
    <w:rsid w:val="00467D39"/>
    <w:rsid w:val="004725D2"/>
    <w:rsid w:val="0048622F"/>
    <w:rsid w:val="0049597D"/>
    <w:rsid w:val="004A1AE6"/>
    <w:rsid w:val="004A4FA1"/>
    <w:rsid w:val="004B1F0A"/>
    <w:rsid w:val="004B3197"/>
    <w:rsid w:val="004C0AEA"/>
    <w:rsid w:val="004C1512"/>
    <w:rsid w:val="004C1DCF"/>
    <w:rsid w:val="004C56E8"/>
    <w:rsid w:val="004C6B31"/>
    <w:rsid w:val="004D4348"/>
    <w:rsid w:val="004D46AD"/>
    <w:rsid w:val="004D70F2"/>
    <w:rsid w:val="004D7538"/>
    <w:rsid w:val="004E14D6"/>
    <w:rsid w:val="004E49F4"/>
    <w:rsid w:val="004F554C"/>
    <w:rsid w:val="004F5AE9"/>
    <w:rsid w:val="004F784F"/>
    <w:rsid w:val="00500F8C"/>
    <w:rsid w:val="00513EDB"/>
    <w:rsid w:val="005147C8"/>
    <w:rsid w:val="00515FD3"/>
    <w:rsid w:val="005210E1"/>
    <w:rsid w:val="00523A50"/>
    <w:rsid w:val="005254CF"/>
    <w:rsid w:val="005317DF"/>
    <w:rsid w:val="00532968"/>
    <w:rsid w:val="0053377B"/>
    <w:rsid w:val="005415F3"/>
    <w:rsid w:val="0055643C"/>
    <w:rsid w:val="00563CB3"/>
    <w:rsid w:val="005912C5"/>
    <w:rsid w:val="00593B3B"/>
    <w:rsid w:val="005A2790"/>
    <w:rsid w:val="005B0926"/>
    <w:rsid w:val="005B6FA5"/>
    <w:rsid w:val="005C147E"/>
    <w:rsid w:val="005C2ABD"/>
    <w:rsid w:val="005C68CF"/>
    <w:rsid w:val="005D197B"/>
    <w:rsid w:val="005D56A7"/>
    <w:rsid w:val="005D6697"/>
    <w:rsid w:val="005D74AF"/>
    <w:rsid w:val="005D7AF0"/>
    <w:rsid w:val="005F00C9"/>
    <w:rsid w:val="005F3F70"/>
    <w:rsid w:val="005F48D8"/>
    <w:rsid w:val="005F6355"/>
    <w:rsid w:val="00606D67"/>
    <w:rsid w:val="00610CFD"/>
    <w:rsid w:val="00624604"/>
    <w:rsid w:val="006264F1"/>
    <w:rsid w:val="0063065F"/>
    <w:rsid w:val="00642589"/>
    <w:rsid w:val="00647BD7"/>
    <w:rsid w:val="00653298"/>
    <w:rsid w:val="00664CC7"/>
    <w:rsid w:val="00673387"/>
    <w:rsid w:val="006734E4"/>
    <w:rsid w:val="00676E8C"/>
    <w:rsid w:val="0068126E"/>
    <w:rsid w:val="00685AE2"/>
    <w:rsid w:val="00697124"/>
    <w:rsid w:val="006A1126"/>
    <w:rsid w:val="006A134E"/>
    <w:rsid w:val="006A5F14"/>
    <w:rsid w:val="006A61FC"/>
    <w:rsid w:val="006B0948"/>
    <w:rsid w:val="006B61A9"/>
    <w:rsid w:val="006C19E9"/>
    <w:rsid w:val="006C20D3"/>
    <w:rsid w:val="006C2135"/>
    <w:rsid w:val="006C4268"/>
    <w:rsid w:val="006C54DC"/>
    <w:rsid w:val="006C69A7"/>
    <w:rsid w:val="006D474C"/>
    <w:rsid w:val="006D6B19"/>
    <w:rsid w:val="006E513D"/>
    <w:rsid w:val="0071139E"/>
    <w:rsid w:val="00711AE7"/>
    <w:rsid w:val="0072203D"/>
    <w:rsid w:val="00725D1F"/>
    <w:rsid w:val="007268BE"/>
    <w:rsid w:val="00727EAE"/>
    <w:rsid w:val="00733873"/>
    <w:rsid w:val="00734E52"/>
    <w:rsid w:val="00740A96"/>
    <w:rsid w:val="00744E7E"/>
    <w:rsid w:val="00757395"/>
    <w:rsid w:val="00763204"/>
    <w:rsid w:val="0076320C"/>
    <w:rsid w:val="007676CF"/>
    <w:rsid w:val="00770671"/>
    <w:rsid w:val="00772827"/>
    <w:rsid w:val="00777646"/>
    <w:rsid w:val="00784805"/>
    <w:rsid w:val="00794AFB"/>
    <w:rsid w:val="007971BA"/>
    <w:rsid w:val="007A5E26"/>
    <w:rsid w:val="007B224D"/>
    <w:rsid w:val="007B309C"/>
    <w:rsid w:val="007E4166"/>
    <w:rsid w:val="007E5BD9"/>
    <w:rsid w:val="007E6845"/>
    <w:rsid w:val="007E6D01"/>
    <w:rsid w:val="007F406A"/>
    <w:rsid w:val="007F6E5F"/>
    <w:rsid w:val="008110C1"/>
    <w:rsid w:val="00811D66"/>
    <w:rsid w:val="008224CF"/>
    <w:rsid w:val="0082354B"/>
    <w:rsid w:val="00823B91"/>
    <w:rsid w:val="00823E51"/>
    <w:rsid w:val="00824B9F"/>
    <w:rsid w:val="00832402"/>
    <w:rsid w:val="00832EFE"/>
    <w:rsid w:val="00833F18"/>
    <w:rsid w:val="00847530"/>
    <w:rsid w:val="00847C5F"/>
    <w:rsid w:val="0085273A"/>
    <w:rsid w:val="00863722"/>
    <w:rsid w:val="00866151"/>
    <w:rsid w:val="00867DAA"/>
    <w:rsid w:val="00883063"/>
    <w:rsid w:val="00890220"/>
    <w:rsid w:val="008A42C6"/>
    <w:rsid w:val="008B7838"/>
    <w:rsid w:val="008C0515"/>
    <w:rsid w:val="008C6F8F"/>
    <w:rsid w:val="008D1900"/>
    <w:rsid w:val="008D383E"/>
    <w:rsid w:val="008D7DCA"/>
    <w:rsid w:val="008E2428"/>
    <w:rsid w:val="008E7A67"/>
    <w:rsid w:val="008F7C5C"/>
    <w:rsid w:val="00902744"/>
    <w:rsid w:val="00903824"/>
    <w:rsid w:val="00904238"/>
    <w:rsid w:val="009129D2"/>
    <w:rsid w:val="009131A2"/>
    <w:rsid w:val="0092726F"/>
    <w:rsid w:val="009404D0"/>
    <w:rsid w:val="0094185B"/>
    <w:rsid w:val="00954CDB"/>
    <w:rsid w:val="00967E2A"/>
    <w:rsid w:val="00973D2C"/>
    <w:rsid w:val="00984289"/>
    <w:rsid w:val="0099326E"/>
    <w:rsid w:val="00993B11"/>
    <w:rsid w:val="00994B48"/>
    <w:rsid w:val="00995C63"/>
    <w:rsid w:val="009A0B35"/>
    <w:rsid w:val="009A1A3E"/>
    <w:rsid w:val="009A543A"/>
    <w:rsid w:val="009C3BED"/>
    <w:rsid w:val="009C5270"/>
    <w:rsid w:val="009D02B9"/>
    <w:rsid w:val="009D5F3D"/>
    <w:rsid w:val="009E2460"/>
    <w:rsid w:val="009E2FD4"/>
    <w:rsid w:val="009E4FAE"/>
    <w:rsid w:val="009F06D6"/>
    <w:rsid w:val="009F5E76"/>
    <w:rsid w:val="009F67C5"/>
    <w:rsid w:val="00A037D9"/>
    <w:rsid w:val="00A234BE"/>
    <w:rsid w:val="00A2469B"/>
    <w:rsid w:val="00A376D3"/>
    <w:rsid w:val="00A43EFF"/>
    <w:rsid w:val="00A503D3"/>
    <w:rsid w:val="00A512A1"/>
    <w:rsid w:val="00A568E7"/>
    <w:rsid w:val="00A56DA8"/>
    <w:rsid w:val="00A6192C"/>
    <w:rsid w:val="00A62699"/>
    <w:rsid w:val="00A755ED"/>
    <w:rsid w:val="00A778C9"/>
    <w:rsid w:val="00A96C0B"/>
    <w:rsid w:val="00AA6C21"/>
    <w:rsid w:val="00AB1DC4"/>
    <w:rsid w:val="00AC1B26"/>
    <w:rsid w:val="00AD1611"/>
    <w:rsid w:val="00AD7C8B"/>
    <w:rsid w:val="00AF68A0"/>
    <w:rsid w:val="00AF729A"/>
    <w:rsid w:val="00AF7795"/>
    <w:rsid w:val="00B00804"/>
    <w:rsid w:val="00B1635F"/>
    <w:rsid w:val="00B165D8"/>
    <w:rsid w:val="00B1794B"/>
    <w:rsid w:val="00B31671"/>
    <w:rsid w:val="00B421DB"/>
    <w:rsid w:val="00B42ADB"/>
    <w:rsid w:val="00B45EAD"/>
    <w:rsid w:val="00B47B25"/>
    <w:rsid w:val="00B548C7"/>
    <w:rsid w:val="00B630B5"/>
    <w:rsid w:val="00B712F3"/>
    <w:rsid w:val="00B72BE4"/>
    <w:rsid w:val="00B73036"/>
    <w:rsid w:val="00B77002"/>
    <w:rsid w:val="00B8391B"/>
    <w:rsid w:val="00B9287F"/>
    <w:rsid w:val="00B965CD"/>
    <w:rsid w:val="00BA10D6"/>
    <w:rsid w:val="00BA518C"/>
    <w:rsid w:val="00BA5E3A"/>
    <w:rsid w:val="00BB4FCC"/>
    <w:rsid w:val="00BB73A9"/>
    <w:rsid w:val="00BC1BD5"/>
    <w:rsid w:val="00BC2836"/>
    <w:rsid w:val="00BC4ABA"/>
    <w:rsid w:val="00BC52F6"/>
    <w:rsid w:val="00BD024F"/>
    <w:rsid w:val="00BD4014"/>
    <w:rsid w:val="00BD79D0"/>
    <w:rsid w:val="00BF2E4D"/>
    <w:rsid w:val="00BF7D1B"/>
    <w:rsid w:val="00C04662"/>
    <w:rsid w:val="00C07E7C"/>
    <w:rsid w:val="00C10E93"/>
    <w:rsid w:val="00C12187"/>
    <w:rsid w:val="00C12A3B"/>
    <w:rsid w:val="00C1451B"/>
    <w:rsid w:val="00C22177"/>
    <w:rsid w:val="00C234FB"/>
    <w:rsid w:val="00C24385"/>
    <w:rsid w:val="00C2495C"/>
    <w:rsid w:val="00C4062F"/>
    <w:rsid w:val="00C445A6"/>
    <w:rsid w:val="00C4751A"/>
    <w:rsid w:val="00C53DE0"/>
    <w:rsid w:val="00C6149F"/>
    <w:rsid w:val="00C62395"/>
    <w:rsid w:val="00C671B8"/>
    <w:rsid w:val="00C67D7F"/>
    <w:rsid w:val="00C77049"/>
    <w:rsid w:val="00C77FC7"/>
    <w:rsid w:val="00C843ED"/>
    <w:rsid w:val="00CA2A0B"/>
    <w:rsid w:val="00CA364D"/>
    <w:rsid w:val="00CA37A3"/>
    <w:rsid w:val="00CA62A8"/>
    <w:rsid w:val="00CB405A"/>
    <w:rsid w:val="00CC28CF"/>
    <w:rsid w:val="00CC4BE2"/>
    <w:rsid w:val="00CD07B0"/>
    <w:rsid w:val="00CD201D"/>
    <w:rsid w:val="00CD317C"/>
    <w:rsid w:val="00CD413A"/>
    <w:rsid w:val="00CE3179"/>
    <w:rsid w:val="00D101AD"/>
    <w:rsid w:val="00D169E6"/>
    <w:rsid w:val="00D24CAE"/>
    <w:rsid w:val="00D256DE"/>
    <w:rsid w:val="00D320A8"/>
    <w:rsid w:val="00D53193"/>
    <w:rsid w:val="00D56526"/>
    <w:rsid w:val="00D619ED"/>
    <w:rsid w:val="00D735FC"/>
    <w:rsid w:val="00D749A4"/>
    <w:rsid w:val="00D74FB1"/>
    <w:rsid w:val="00D768AA"/>
    <w:rsid w:val="00D76A8D"/>
    <w:rsid w:val="00D811F6"/>
    <w:rsid w:val="00D91DF5"/>
    <w:rsid w:val="00D9781C"/>
    <w:rsid w:val="00DA1B07"/>
    <w:rsid w:val="00DB02F8"/>
    <w:rsid w:val="00DC095F"/>
    <w:rsid w:val="00DC4084"/>
    <w:rsid w:val="00DC41DD"/>
    <w:rsid w:val="00DC5846"/>
    <w:rsid w:val="00DD7809"/>
    <w:rsid w:val="00DE1C0F"/>
    <w:rsid w:val="00DE4028"/>
    <w:rsid w:val="00DF365C"/>
    <w:rsid w:val="00DF788E"/>
    <w:rsid w:val="00E01604"/>
    <w:rsid w:val="00E0195B"/>
    <w:rsid w:val="00E118F1"/>
    <w:rsid w:val="00E2155E"/>
    <w:rsid w:val="00E23179"/>
    <w:rsid w:val="00E24D9C"/>
    <w:rsid w:val="00E30A97"/>
    <w:rsid w:val="00E3555E"/>
    <w:rsid w:val="00E46D15"/>
    <w:rsid w:val="00E508F3"/>
    <w:rsid w:val="00E66239"/>
    <w:rsid w:val="00E6628E"/>
    <w:rsid w:val="00E72009"/>
    <w:rsid w:val="00E76A9A"/>
    <w:rsid w:val="00E92459"/>
    <w:rsid w:val="00E93DBD"/>
    <w:rsid w:val="00E94412"/>
    <w:rsid w:val="00E950E5"/>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07B5"/>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73297"/>
    <w:rsid w:val="00F814BD"/>
    <w:rsid w:val="00F828D9"/>
    <w:rsid w:val="00F82FAE"/>
    <w:rsid w:val="00F8721C"/>
    <w:rsid w:val="00FA47C6"/>
    <w:rsid w:val="00FB1526"/>
    <w:rsid w:val="00FB1C55"/>
    <w:rsid w:val="00FC1F24"/>
    <w:rsid w:val="00FC1FF7"/>
    <w:rsid w:val="00FC602E"/>
    <w:rsid w:val="00FC6067"/>
    <w:rsid w:val="00FD4224"/>
    <w:rsid w:val="00FD775F"/>
    <w:rsid w:val="00FE10EB"/>
    <w:rsid w:val="00FE200F"/>
    <w:rsid w:val="00FE46A8"/>
    <w:rsid w:val="00FF50B1"/>
    <w:rsid w:val="00FF5135"/>
    <w:rsid w:val="00FF5FFF"/>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CFA"/>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customStyle="1" w:styleId="UnresolvedMention1">
    <w:name w:val="Unresolved Mention1"/>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story" TargetMode="External"/><Relationship Id="rId13" Type="http://schemas.openxmlformats.org/officeDocument/2006/relationships/hyperlink" Target="https://www.jstor.org/stable/42589189" TargetMode="Externa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www.cica.indiana.edu/cscl95/jonas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markdown.rstudio.com/" TargetMode="External"/><Relationship Id="rId11" Type="http://schemas.openxmlformats.org/officeDocument/2006/relationships/hyperlink" Target="http://nap.edu/94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4" Type="http://schemas.openxmlformats.org/officeDocument/2006/relationships/settings" Target="settings.xml"/><Relationship Id="rId9" Type="http://schemas.openxmlformats.org/officeDocument/2006/relationships/hyperlink" Target="https://en.wikipedia.org/wiki/Usability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6408-C4B1-4C0A-8135-D8D97D8D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2785</Words>
  <Characters>15879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2</cp:revision>
  <dcterms:created xsi:type="dcterms:W3CDTF">2019-11-27T16:31:00Z</dcterms:created>
  <dcterms:modified xsi:type="dcterms:W3CDTF">2019-11-27T16:31:00Z</dcterms:modified>
</cp:coreProperties>
</file>