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3C27" w:rsidRDefault="00BA3C27">
      <w:r>
        <w:t>Risk communication content clearinghouse (RC</w:t>
      </w:r>
      <w:r w:rsidRPr="00BA3C27">
        <w:rPr>
          <w:vertAlign w:val="superscript"/>
        </w:rPr>
        <w:t>3</w:t>
      </w:r>
      <w:r>
        <w:t>)</w:t>
      </w:r>
    </w:p>
    <w:p w:rsidR="00BA3C27" w:rsidRDefault="00BA3C27"/>
    <w:p w:rsidR="00991FD9" w:rsidRDefault="00BA3C27" w:rsidP="00991FD9">
      <w:r>
        <w:t>Effective health communication can have direct and indirect positive effects on health outcomes</w:t>
      </w:r>
      <w:r w:rsidR="008271C4">
        <w:t>,</w:t>
      </w:r>
      <w:r>
        <w:fldChar w:fldCharType="begin"/>
      </w:r>
      <w:r>
        <w:instrText xml:space="preserve"> ADDIN ZOTERO_ITEM CSL_CITATION {"citationID":"a2pnmfs579t","properties":{"formattedCitation":"{\\rtf \\super 1,2\\nosupersub{}}","plainCitation":"1,2"},"citationItems":[{"id":3447,"uris":["http://zotero.org/users/1522668/items/Z3EK5JXK"],"uri":["http://zotero.org/users/1522668/items/Z3EK5JXK"],"itemData":{"id":3447,"type":"article-journal","title":"How does communication heal? Pathways linking clinician–patient communication to health outcomes","container-title":"Patient Education and Counseling","page":"295-301","volume":"74","issue":"3","source":"www.pec-journal.com","abstract":"Objective\nAlthough prior research indicates that features of clinician–patient communication can predict health outcomes weeks and months after the consultation, the mechanisms accounting for these findings are poorly understood. While talk itself can be therapeutic (e.g., lessening the patient's anxiety, providing comfort), more often clinician–patient communication influences health outcomes via a more indirect route. Proximal outcomes of the interaction include patient understanding, trust, and clinician–patient agreement. These affect intermediate outcomes (e.g., increased adherence, better self-care skills) which, in turn, affect health and well-being. Seven pathways through which communication can lead to better health include increased access to care, greater patient knowledge and shared understanding, higher quality medical decisions, enhanced therapeutic alliances, increased social support, patient agency and empowerment, and better management of emotions.\nConclusion\nFuture research should hypothesize pathways connecting communication to health outcomes and select measures specific to that pathway.\nPractice implications\nClinicians and patients should maximize the therapeutic effects of communication by explicitly orienting communication to achieve intermediate outcomes (e.g., trust, mutual understanding, adherence, social support, self-efficacy) associated with improved health.","DOI":"10.1016/j.pec.2008.11.015","ISSN":"0738-3991, 1873-5134","note":"PMID: 19150199","shortTitle":"How does communication heal?","journalAbbreviation":"Patient Education and Counseling","language":"English","author":[{"family":"Street","given":"Richard L."},{"family":"Makoul","given":"Gregory"},{"family":"Arora","given":"Neeraj K."},{"family":"Epstein","given":"Ronald M."}],"issued":{"date-parts":[["2009",3,1]]}}},{"id":321,"uris":["http://zotero.org/users/1522668/items/CCIG3H53"],"uri":["http://zotero.org/users/1522668/items/CCIG3H53"],"itemData":{"id":321,"type":"webpage","title":"Healthy People 2020: Health communication and health information technology","container-title":"Healthy People 2020: Health Communication and Health Information Technology","URL":"http://www.healthypeople.gov/2020/topics-objectives/topic/health-communication-and-health-information-technology","author":[{"family":"Office of Disease Prevention and Health Promotion","given":""}],"issued":{"date-parts":[["2015"]]},"accessed":{"date-parts":[["2015",3,20]]}}}],"schema":"https://github.com/citation-style-language/schema/raw/master/csl-citation.json"} </w:instrText>
      </w:r>
      <w:r>
        <w:fldChar w:fldCharType="separate"/>
      </w:r>
      <w:r w:rsidRPr="00BA3C27">
        <w:rPr>
          <w:szCs w:val="24"/>
          <w:vertAlign w:val="superscript"/>
        </w:rPr>
        <w:t>1,2</w:t>
      </w:r>
      <w:r>
        <w:fldChar w:fldCharType="end"/>
      </w:r>
      <w:r>
        <w:t xml:space="preserve"> </w:t>
      </w:r>
      <w:r w:rsidR="00F25113">
        <w:t>dissemination of messages that are uninformed by audience characteristics can lead to unintended boomerang effects, that include stigmatization of health conditions,</w:t>
      </w:r>
      <w:r w:rsidR="00F25113">
        <w:fldChar w:fldCharType="begin"/>
      </w:r>
      <w:r w:rsidR="00F25113">
        <w:instrText xml:space="preserve"> ADDIN ZOTERO_ITEM CSL_CITATION {"citationID":"an1c16r2vr","properties":{"formattedCitation":"{\\rtf \\super 3,4\\nosupersub{}}","plainCitation":"3,4"},"citationItems":[{"id":363,"uris":["http://zotero.org/users/1522668/items/E4EI2UEK"],"uri":["http://zotero.org/users/1522668/items/E4EI2UEK"],"itemData":{"id":363,"type":"article-journal","title":"Language of the lost: An explication of stigma communication","container-title":"Communication Theory","page":"462-485","volume":"17","issue":"4","source":"Wiley Online Library","abstract":"Although stigmas appear throughout history, even in present-day virtual communities, an explanation of stigma communication has yet to be offered; this essay attempts to do just that. This essay argues that stigma communication includes specific content: marks, labels, responsibility, and peril, in order to induce affective and cognitive responses to create stigma attitudes, to generate protective action tendencies, and to encourage the sharing of these messages with others. Stigma messages bear the following attributes: they provide cues (a) to distinguish people, (b) to categorize distinguished people as a separate social entity, (c) to imply a responsibility for receiving placement within this distinguished group and their associated peril, and (d) to link this distinguished group to physical and social peril. Different qualities of stigma messages, moreover, evoke different emotions (disgust, fear, and anger) that motivate people to access relevant social attitudes, form or bolster stigma attitudes, and to remove the stigmatized threat. Stigma attitudes encourage the sharing of stigma messages with others in a network, which may, subsequently, bond in-group members.","DOI":"10.1111/j.1468-2885.2007.00307.x","ISSN":"1468-2885","shortTitle":"Language of the Lost","language":"en","author":[{"family":"Smith","given":"Rachel A."}],"issued":{"date-parts":[["2007",11,1]]}}},{"id":509,"uris":["http://zotero.org/users/1522668/items/JW3IXWWP"],"uri":["http://zotero.org/users/1522668/items/JW3IXWWP"],"itemData":{"id":509,"type":"article-journal","title":"Investigating the potential for ethnic group harm in collaborative genomics research in Africa: is ethnic stigmatisation likely?","container-title":"Social Science &amp; Medicine (1982)","page":"1400-1407","volume":"75","issue":"8","source":"NCBI PubMed","abstract":"A common assumption in genomics research is that the use of ethnic categories has the potential to lead to ethnic stigmatisation - particularly when the research is done on minority populations. Yet few empirical studies have sought to investigate the relation between genomics and stigma, and fewer still with a focus on Africa. In this paper, we investigate the potential for genomics research to lead to harms to ethnic groups. We carried out 49 semi-structured, open-ended interviews with stakeholders in a current medical genomics research project in Africa, MalariaGEN. Interviews were conducted with MalariaGEN researchers, fieldworkers, members of three ethics committees who reviewed MalariaGEN project proposals, and with members of the two funding bodies providing support to the MalariaGEN project. Interviews were conducted in Kenya, The Gambia and the UK between June 2008 and October 2009. They covered a range of aspects relating to the use of ethnicity in the genomics project, including views on adverse effects of the inclusion of ethnicity in such research. Drawing on the empirical data, we argue that the risk of harm to ethnic groups is likely to be more acute in specific types of genomics research. We develop a typology of research questions and projects that carry a greater risk of harm to the populations included in genomics research. We conclude that the potential of generating harm to ethnic groups in genomics research is present if research includes populations that are already stigmatised or discriminated against, or where the research investigates questions with particular normative implications. We identify a clear need for genomics researchers to take account of the social context of the work they are proposing to do, including understanding the local realities and relations between ethnic groups, and whether diseases are already stigmatised.","DOI":"10.1016/j.socscimed.2012.05.020","ISSN":"1873-5347","note":"PMID: 22749442 \nPMCID: PMC3632260","shortTitle":"Investigating the potential for ethnic group harm in collaborative genomics research in Africa","journalAbbreviation":"Soc Sci Med","language":"eng","author":[{"family":"Vries","given":"Jantina","non-dropping-particle":"de"},{"family":"Jallow","given":"Muminatou"},{"family":"Williams","given":"Thomas N."},{"family":"Kwiatkowski","given":"Dominic"},{"family":"Parker","given":"Michael"},{"family":"Fitzpatrick","given":"Raymond"}],"issued":{"date-parts":[["2012",10]]}}}],"schema":"https://github.com/citation-style-language/schema/raw/master/csl-citation.json"} </w:instrText>
      </w:r>
      <w:r w:rsidR="00F25113">
        <w:fldChar w:fldCharType="separate"/>
      </w:r>
      <w:r w:rsidR="00F25113" w:rsidRPr="00F25113">
        <w:rPr>
          <w:szCs w:val="24"/>
          <w:vertAlign w:val="superscript"/>
        </w:rPr>
        <w:t>3,4</w:t>
      </w:r>
      <w:r w:rsidR="00F25113">
        <w:fldChar w:fldCharType="end"/>
      </w:r>
      <w:r w:rsidR="00F25113">
        <w:t xml:space="preserve"> health disengagement,</w:t>
      </w:r>
      <w:r w:rsidR="00F25113">
        <w:fldChar w:fldCharType="begin"/>
      </w:r>
      <w:r w:rsidR="00F25113">
        <w:instrText xml:space="preserve"> ADDIN ZOTERO_ITEM CSL_CITATION {"citationID":"qCPtkqRe","properties":{"formattedCitation":"{\\rtf \\super 5\\nosupersub{}}","plainCitation":"5"},"citationItems":[{"id":535,"uris":["http://zotero.org/users/1522668/items/M385DFAR"],"uri":["http://zotero.org/users/1522668/items/M385DFAR"],"itemData":{"id":535,"type":"article-journal","title":"From patient education to patient engagement: Implications for the field of patient education","container-title":"Patient Education and Counseling","collection-title":"Changing Patient Education","page":"350-356","volume":"78","issue":"3","source":"ScienceDirect","abstract":"Objective\nAdvances in health care require that individuals participate knowledgeably and actively in their health care to realize its full benefit. Implications of these changes for the behavior of individuals and for the practice of patient education are described.\nMethods\nAn “engagement behavior framework” (EBF) was compiled from literature reviews and key informant interviews. To assess the focus of research and interventions on the identified engagement behaviors, the EBF was used to code scientific sessions in professional conferences relevant to patient education in the US in 2006–2007.\nResults\nMany specific behaviors constitute engagement. Professional conferences on patient education show only modest attention to the full range of relevant behaviors.\nConclusion\nPeople must make informed choices about insurance and clinicians, coordinate communications among providers and manage complex treatments on their own. Not doing so risks preventable illness, suboptimal outcomes and wasted resources.\nPractice Implications\nIncreased responsibilities of individuals, sick and well, to find and actively participate in high quality health care provides an opportunity for patient education researchers and clinicians to improve health outcomes by developing innovative strategies to support all individuals to effectively participate in their care to the extent possible.","DOI":"10.1016/j.pec.2010.02.002","ISSN":"0738-3991","shortTitle":"From patient education to patient engagement","journalAbbreviation":"Patient Education and Counseling","author":[{"family":"Gruman","given":"Jessie"},{"family":"Rovner","given":"Margaret Holmes"},{"family":"French","given":"Molly E."},{"family":"Jeffress","given":"Dorothy"},{"family":"Sofaer","given":"Shoshanna"},{"family":"Shaller","given":"Dale"},{"family":"Prager","given":"Denis J."}],"issued":{"date-parts":[["2010",3]]}}}],"schema":"https://github.com/citation-style-language/schema/raw/master/csl-citation.json"} </w:instrText>
      </w:r>
      <w:r w:rsidR="00F25113">
        <w:fldChar w:fldCharType="separate"/>
      </w:r>
      <w:r w:rsidR="00F25113" w:rsidRPr="00F25113">
        <w:rPr>
          <w:szCs w:val="24"/>
          <w:vertAlign w:val="superscript"/>
        </w:rPr>
        <w:t>5</w:t>
      </w:r>
      <w:r w:rsidR="00F25113">
        <w:fldChar w:fldCharType="end"/>
      </w:r>
      <w:r w:rsidR="00F25113">
        <w:t xml:space="preserve"> and poorly informed health choices and behaviors.</w:t>
      </w:r>
      <w:r w:rsidR="00F25113">
        <w:fldChar w:fldCharType="begin"/>
      </w:r>
      <w:r w:rsidR="00F25113">
        <w:instrText xml:space="preserve"> ADDIN ZOTERO_ITEM CSL_CITATION {"citationID":"al3q7bmbbr","properties":{"formattedCitation":"{\\rtf \\super 6\\nosupersub{}}","plainCitation":"6"},"citationItems":[{"id":325,"uris":["http://zotero.org/users/1522668/items/CI67BXDD"],"uri":["http://zotero.org/users/1522668/items/CI67BXDD"],"itemData":{"id":325,"type":"article-journal","title":"Communication of uncertainty regarding individualized cancer risk estimates effects and influential factors","container-title":"Medical Decision Making","page":"354–366","volume":"31","issue":"2","source":"Google Scholar","abstract":"Abstract\nOBJECTIVE:\nTo examine the effects of communicating uncertainty regarding individualized colorectal cancer risk estimates and to identify factors that influence these effects.\nMETHODS:\nTwo Web-based experiments were conducted, in which adults aged 40 years and older were provided with hypothetical individualized colorectal cancer risk estimates differing in the extent and representation of expressed uncertainty. The uncertainty consisted of imprecision (otherwise known as \"ambiguity\") of the risk estimates and was communicated using different representations of confidence intervals. Experiment 1 (n = 240) tested the effects of ambiguity (confidence interval v. point estimate) and representational format (textual v. visual) on cancer risk perceptions and worry. Potential effect modifiers, including personality type (optimism), numeracy, and the information's perceived credibility, were examined, along with the influence of communicating uncertainty on responses to comparative risk information. Experiment 2 (n = 135) tested enhanced representations of ambiguity that incorporated supplemental textual and visual depictions.\nRESULTS:\nCommunicating uncertainty led to heightened cancer-related worry in participants, exemplifying the phenomenon of \"ambiguity aversion.\" This effect was moderated by representational format and dispositional optimism; textual (v. visual) format and low (v. high) optimism were associated with greater ambiguity aversion. However, when enhanced representations were used to communicate uncertainty, textual and visual formats showed similar effects. Both the communication of uncertainty and use of the visual format diminished the influence of comparative risk information on risk perceptions.\nCONCLUSIONS:\nThe communication of uncertainty regarding cancer risk estimates has complex effects, which include heightening cancer-related worry-consistent with ambiguity aversion-and diminishing the influence of comparative risk information on risk perceptions. These responses are influenced by representational format and personality type, and the influence of format appears to be modifiable and content dependent.","author":[{"family":"Han","given":"Paul K. J."},{"family":"Klein","given":"William MP"},{"family":"Lehman","given":"Tom"},{"family":"Killam","given":"Bill"},{"family":"Massett","given":"Holly"},{"family":"Freedman","given":"Andrew N."}],"issued":{"date-parts":[["2011"]]}}}],"schema":"https://github.com/citation-style-language/schema/raw/master/csl-citation.json"} </w:instrText>
      </w:r>
      <w:r w:rsidR="00F25113">
        <w:fldChar w:fldCharType="separate"/>
      </w:r>
      <w:r w:rsidR="00F25113" w:rsidRPr="00F25113">
        <w:rPr>
          <w:szCs w:val="24"/>
          <w:vertAlign w:val="superscript"/>
        </w:rPr>
        <w:t>6</w:t>
      </w:r>
      <w:r w:rsidR="00F25113">
        <w:fldChar w:fldCharType="end"/>
      </w:r>
      <w:r w:rsidR="00F25113">
        <w:t xml:space="preserve"> Furthermore, precision health approa</w:t>
      </w:r>
      <w:r w:rsidR="006E4FF6">
        <w:t>ch advocated as a national agenda for public health</w:t>
      </w:r>
      <w:r w:rsidR="006E4FF6">
        <w:fldChar w:fldCharType="begin"/>
      </w:r>
      <w:r w:rsidR="006E4FF6">
        <w:instrText xml:space="preserve"> ADDIN ZOTERO_ITEM CSL_CITATION {"citationID":"a4pa10l09h","properties":{"formattedCitation":"{\\rtf \\super 7\\nosupersub{}}","plainCitation":"7"},"citationItems":[{"id":3656,"uris":["http://zotero.org/users/1522668/items/9BCNVGFP"],"uri":["http://zotero.org/users/1522668/items/9BCNVGFP"],"itemData":{"id":3656,"type":"article-journal","title":"Precision Public Health for the Era of Precision Medicine","container-title":"American journal of preventive medicine","page":"398-401","volume":"50","issue":"3","source":"PubMed Central","DOI":"10.1016/j.amepre.2015.08.031","ISSN":"0749-3797","note":"PMID: 26547538\nPMCID: PMC4915347","journalAbbreviation":"Am J Prev Med","author":[{"family":"Khoury","given":"Muin J."},{"family":"Iademarco","given":"Michael F."},{"family":"Riley","given":"William T."}],"issued":{"date-parts":[["2016",3]]}}}],"schema":"https://github.com/citation-style-language/schema/raw/master/csl-citation.json"} </w:instrText>
      </w:r>
      <w:r w:rsidR="006E4FF6">
        <w:fldChar w:fldCharType="separate"/>
      </w:r>
      <w:r w:rsidR="006E4FF6" w:rsidRPr="006E4FF6">
        <w:rPr>
          <w:szCs w:val="24"/>
          <w:vertAlign w:val="superscript"/>
        </w:rPr>
        <w:t>7</w:t>
      </w:r>
      <w:r w:rsidR="006E4FF6">
        <w:fldChar w:fldCharType="end"/>
      </w:r>
      <w:r w:rsidR="006E4FF6">
        <w:t xml:space="preserve"> calls for precision tailoring of communication strategies and messages. The field of health communication scholarship has amassed significant evidence that can inform the practice of </w:t>
      </w:r>
      <w:r w:rsidR="008271C4">
        <w:t>health promotion and risk communication.</w:t>
      </w:r>
      <w:r w:rsidR="008271C4">
        <w:fldChar w:fldCharType="begin"/>
      </w:r>
      <w:r w:rsidR="008271C4">
        <w:instrText xml:space="preserve"> ADDIN ZOTERO_ITEM CSL_CITATION {"citationID":"avuqark219","properties":{"formattedCitation":"{\\rtf \\super 8\\uc0\\u8211{}10\\nosupersub{}}","plainCitation":"8–10"},"citationItems":[{"id":344,"uris":["http://zotero.org/users/1522668/items/DENS757K"],"uri":["http://zotero.org/users/1522668/items/DENS757K"],"itemData":{"id":344,"type":"book","title":"Designing health messages: Approaches from communication theory and public health practice","publisher":"SAGE Publications","number-of-pages":"319","source":"Google Books","abstract":"How do you design an effective message for a health campaign? This book explores this question from both practical and theoretical perspectives. The contributors demonstrate the necessity of basing message design decisions on appropriate theories of human behavior and communication effectiveness by synthesizing and integrating knowledge and insights from theory and research in communication and health behavior change. This book will be an essential aid to designing messages for use in health communication campaigns.","ISBN":"978-1-4522-6363-2","shortTitle":"Designing Health Messages","language":"en","author":[{"family":"Maibach","given":"Edward W."},{"family":"Parrott","given":"Roxanne Louiselle"}],"issued":{"date-parts":[["1995",2,10]]}}},{"id":498,"uris":["http://zotero.org/users/1522668/items/JP223QZS"],"uri":["http://zotero.org/users/1522668/items/JP223QZS"],"itemData":{"id":498,"type":"article-journal","title":"A new dimension of health care: Systematic review of the uses, benefits, and limitations of social media for health communication","container-title":"Journal of Medical Internet Research","volume":"15","issue":"4","source":"PubMed Central","abstract":"Background\nThere is currently a lack of information about the uses, benefits, and limitations of social media for health communication among the general public, patients, and health professionals from primary research.\n\nObjective\nTo review the current published literature to identify the uses, benefits, and limitations of social media for health communication among the general public, patients, and health professionals, and identify current gaps in the literature to provide recommendations for future health communication research.\n\nMethods\nThis paper is a review using a systematic approach. A systematic search of the literature was conducted using nine electronic databases and manual searches to locate peer-reviewed studies published between January 2002 and February 2012.\n\nResults\nThe search identified 98 original research studies that included the uses, benefits, and/or limitations of social media for health communication among the general public, patients, and health professionals. The methodological quality of the studies assessed using the Downs and Black instrument was low; this was mainly due to the fact that the vast majority of the studies in this review included limited methodologies and was mainly exploratory and descriptive in nature. Seven main uses of social media for health communication were identified, including focusing on increasing interactions with others, and facilitating, sharing, and obtaining health messages. The six key overarching benefits were identified as (1) increased interactions with others, (2) more available, shared, and tailored information, (3) increased accessibility and widening access to health information, (4) peer/social/emotional support, (5) public health surveillance, and (6) potential to influence health policy. Twelve limitations were identified, primarily consisting of quality concerns and lack of reliability, confidentiality, and privacy.\n\nConclusions\nSocial media brings a new dimension to health care as it offers a medium to be used by the public, patients, and health professionals to communicate about health issues with the possibility of potentially improving health outcomes. Social media is a powerful tool, which offers collaboration between users and is a social interaction mechanism for a range of individuals. Although there are several benefits to the use of social media for health communication, the information exchanged needs to be monitored for quality and reliability, and the users’ confidentiality and privacy need to be maintained. Eight gaps in the literature and key recommendations for future health communication research were provided. Examples of these recommendations include the need to determine the relative effectiveness of different types of social media for health communication using randomized control trials and to explore potential mechanisms for monitoring and enhancing the quality and reliability of health communication using social media. Further robust and comprehensive evaluation and review, using a range of methodologies, are required to establish whether social media improves health communication practice both in the short and long terms.","URL":"http://www.ncbi.nlm.nih.gov/pmc/articles/PMC3636326/","DOI":"10.2196/jmir.1933","ISSN":"1439-4456","note":"PMID: 23615206\nPMCID: PMC3636326","shortTitle":"A New Dimension of Health Care","journalAbbreviation":"J Med Internet Res","author":[{"family":"Moorhead","given":"S Anne"},{"family":"Hazlett","given":"Diane E"},{"family":"Harrison","given":"Laura"},{"family":"Carroll","given":"Jennifer K"},{"family":"Irwin","given":"Anthea"},{"family":"Hoving","given":"Ciska"}],"issued":{"date-parts":[["2013",4,23]]},"accessed":{"date-parts":[["2014",12,4]]}}},{"id":847,"uris":["http://zotero.org/users/1522668/items/ZGKQKJ83"],"uri":["http://zotero.org/users/1522668/items/ZGKQKJ83"],"itemData":{"id":847,"type":"book","title":"Risk communication: A handbook for communicating environmental, safety, and health risks","publisher":"John Wiley &amp; Sons","source":"Google Scholar","shortTitle":"Risk communication","author":[{"family":"Lundgren","given":"Regina E."},{"family":"McMakin","given":"Andrea H."}],"issued":{"date-parts":[["2013"]]},"accessed":{"date-parts":[["2014",12,4]]}}}],"schema":"https://github.com/citation-style-language/schema/raw/master/csl-citation.json"} </w:instrText>
      </w:r>
      <w:r w:rsidR="008271C4">
        <w:fldChar w:fldCharType="separate"/>
      </w:r>
      <w:r w:rsidR="008271C4" w:rsidRPr="008271C4">
        <w:rPr>
          <w:szCs w:val="24"/>
          <w:vertAlign w:val="superscript"/>
        </w:rPr>
        <w:t>8–10</w:t>
      </w:r>
      <w:r w:rsidR="008271C4">
        <w:fldChar w:fldCharType="end"/>
      </w:r>
      <w:r w:rsidR="008271C4">
        <w:t xml:space="preserve"> Yet, further efforts are needed to create tools for transdisciplinary collaboration and effective translation of communication research into clinical and public health practice.</w:t>
      </w:r>
      <w:r w:rsidR="008271C4">
        <w:fldChar w:fldCharType="begin"/>
      </w:r>
      <w:r w:rsidR="008271C4">
        <w:instrText xml:space="preserve"> ADDIN ZOTERO_ITEM CSL_CITATION {"citationID":"a26ue2g9a4n","properties":{"formattedCitation":"{\\rtf \\super 11\\nosupersub{}}","plainCitation":"11"},"citationItems":[{"id":3796,"uris":["http://zotero.org/users/1522668/items/RXZMTBUQ"],"uri":["http://zotero.org/users/1522668/items/RXZMTBUQ"],"itemData":{"id":3796,"type":"article-journal","title":"A Research Agenda for Communication Scholars in the Precision Medicine Era","container-title":"Journal of Health Communication","page":"839-848","volume":"22","issue":"10","source":"Taylor and Francis+NEJM","abstract":"The 2015 announcement of the Precision Medicine Initiative (PMI) galvanized and energized efforts to reconsider medical practice through tailoring of prevention and treatment recommendations based on genetics, environment, and lifestyle. Numerous disciplines contributed white papers identifying challenges associated with PMI and calling for discipline-specific research that might provide solutions to such challenges. Throughout these white papers, the prominence of communication in achieving the PMI’s goals is obviously apparent. In this article, we highlight opportunities for communication scholars’ contributions to the PMI based on challenges identified in white papers from other disciplines and work already conducted by research teams in the field of communication.","DOI":"10.1080/10810730.2017.1363324","ISSN":"1081-0730","note":"PMID: 28956728","author":[{"family":"Scherr","given":"Courtney L."},{"family":"Dean","given":"Marleah"},{"family":"Clayton","given":"Margaret F."},{"family":"Hesse","given":"Bradford W."},{"family":"Silk","given":"Kami"},{"family":"Jr","given":"Richard L. Street"},{"family":"Krieger","given":"Janice"}],"issued":{"date-parts":[["2017",10,3]]}}}],"schema":"https://github.com/citation-style-language/schema/raw/master/csl-citation.json"} </w:instrText>
      </w:r>
      <w:r w:rsidR="008271C4">
        <w:fldChar w:fldCharType="separate"/>
      </w:r>
      <w:r w:rsidR="008271C4" w:rsidRPr="008271C4">
        <w:rPr>
          <w:szCs w:val="24"/>
          <w:vertAlign w:val="superscript"/>
        </w:rPr>
        <w:t>11</w:t>
      </w:r>
      <w:r w:rsidR="008271C4">
        <w:fldChar w:fldCharType="end"/>
      </w:r>
      <w:r w:rsidR="008271C4">
        <w:t xml:space="preserve"> </w:t>
      </w:r>
      <w:r w:rsidR="00991FD9">
        <w:t>Responding to these translational and implementation science needs, this project proposes to develop a r</w:t>
      </w:r>
      <w:r w:rsidR="00991FD9">
        <w:t>isk communication content clearinghouse (RC</w:t>
      </w:r>
      <w:r w:rsidR="00991FD9" w:rsidRPr="00BA3C27">
        <w:rPr>
          <w:vertAlign w:val="superscript"/>
        </w:rPr>
        <w:t>3</w:t>
      </w:r>
      <w:r w:rsidR="00991FD9">
        <w:t>)</w:t>
      </w:r>
      <w:r w:rsidR="00991FD9">
        <w:t>.</w:t>
      </w:r>
    </w:p>
    <w:p w:rsidR="00991FD9" w:rsidRDefault="00991FD9" w:rsidP="00991FD9"/>
    <w:p w:rsidR="00991FD9" w:rsidRDefault="00991FD9" w:rsidP="00991FD9">
      <w:r>
        <w:t>RC</w:t>
      </w:r>
      <w:r w:rsidRPr="00991FD9">
        <w:rPr>
          <w:vertAlign w:val="superscript"/>
        </w:rPr>
        <w:t>3</w:t>
      </w:r>
      <w:r>
        <w:t xml:space="preserve"> will consist of the evidence </w:t>
      </w:r>
      <w:r w:rsidR="00B24D4C">
        <w:t>for</w:t>
      </w:r>
      <w:r>
        <w:t xml:space="preserve"> communication strategies and messages that have been previously developed and validated for specific diseases and </w:t>
      </w:r>
      <w:r w:rsidR="00B24D4C">
        <w:t xml:space="preserve">health </w:t>
      </w:r>
      <w:r>
        <w:t xml:space="preserve">conditions. </w:t>
      </w:r>
      <w:r w:rsidR="00B24D4C">
        <w:t>Initial tool development will be based on messages related to the diseases and conditions with exiting final recommendations</w:t>
      </w:r>
      <w:r w:rsidR="00EA39B6">
        <w:t xml:space="preserve"> </w:t>
      </w:r>
      <w:r w:rsidR="00B24D4C">
        <w:t>from the U.S. Preventive Services Taskforce</w:t>
      </w:r>
      <w:r w:rsidR="00EA39B6">
        <w:t xml:space="preserve">. To </w:t>
      </w:r>
      <w:r w:rsidR="00F42FAA">
        <w:t>focus the review efforts further, topics with</w:t>
      </w:r>
      <w:r w:rsidR="00EA39B6">
        <w:t xml:space="preserve"> recommendations against particular services</w:t>
      </w:r>
      <w:r w:rsidR="00F42FAA">
        <w:t xml:space="preserve"> will be excluded (Grade D) </w:t>
      </w:r>
      <w:r w:rsidR="00B24D4C">
        <w:t>(see Appendix A for a draft list). E</w:t>
      </w:r>
      <w:r w:rsidR="00B24D4C">
        <w:t>vidence for communication strategies and messages</w:t>
      </w:r>
      <w:r w:rsidR="00B24D4C">
        <w:t xml:space="preserve"> to be included in the initial RC</w:t>
      </w:r>
      <w:r w:rsidR="00B24D4C" w:rsidRPr="00B24D4C">
        <w:rPr>
          <w:vertAlign w:val="superscript"/>
        </w:rPr>
        <w:t>3</w:t>
      </w:r>
      <w:r w:rsidR="00B24D4C">
        <w:t xml:space="preserve"> will be identified from papers </w:t>
      </w:r>
      <w:r w:rsidR="00FE4987">
        <w:t xml:space="preserve">published in the last 15 years (to ensure relevance of technologies, dissemination strategies, and underlying evidence) </w:t>
      </w:r>
      <w:r w:rsidR="00B24D4C">
        <w:t>with full text in PubMed Central</w:t>
      </w:r>
      <w:r w:rsidR="00FE4987">
        <w:t xml:space="preserve"> (to promote dissemination of publicly funded research and increase the probability of existing publ</w:t>
      </w:r>
      <w:r w:rsidR="001D797C">
        <w:t>ic access to identified messages</w:t>
      </w:r>
      <w:r w:rsidR="00FE4987">
        <w:t>)</w:t>
      </w:r>
      <w:r w:rsidR="00B24D4C">
        <w:t>.</w:t>
      </w:r>
      <w:r w:rsidR="00FE4987">
        <w:t xml:space="preserve"> Although beyond the scope of the goals for the initial RC</w:t>
      </w:r>
      <w:r w:rsidR="00FE4987" w:rsidRPr="00FE4987">
        <w:rPr>
          <w:vertAlign w:val="superscript"/>
        </w:rPr>
        <w:t>3</w:t>
      </w:r>
      <w:r w:rsidR="00FE4987" w:rsidRPr="00FE4987">
        <w:t xml:space="preserve">, </w:t>
      </w:r>
      <w:r w:rsidR="00FE4987">
        <w:t xml:space="preserve">subsequent continuous development of the </w:t>
      </w:r>
      <w:r w:rsidR="001D797C">
        <w:t>c</w:t>
      </w:r>
      <w:r w:rsidR="00FE4987">
        <w:t>learinghouse</w:t>
      </w:r>
      <w:r w:rsidR="001D797C">
        <w:t xml:space="preserve"> could include evidence from all outlets indexed in PubMed and on topics identified in the guidelines of various medical organizations (associations, academies, and societies). Once identified, risk communication strategies and messages will be coded using the codebook presented in Appendix B.</w:t>
      </w:r>
    </w:p>
    <w:p w:rsidR="001D797C" w:rsidRDefault="001D797C" w:rsidP="00991FD9"/>
    <w:p w:rsidR="001D797C" w:rsidRDefault="001D797C" w:rsidP="00991FD9">
      <w:r>
        <w:t>The main value and contribution of the RC</w:t>
      </w:r>
      <w:r w:rsidRPr="001D797C">
        <w:rPr>
          <w:vertAlign w:val="superscript"/>
        </w:rPr>
        <w:t>3</w:t>
      </w:r>
      <w:r>
        <w:t xml:space="preserve"> to the precision public health is in the linking and cross-referencing of its codebook to the data elements in the exiting </w:t>
      </w:r>
      <w:r w:rsidR="00B14E46">
        <w:t>health indicator datasets. As a final product, RC</w:t>
      </w:r>
      <w:r w:rsidR="00B14E46" w:rsidRPr="00B14E46">
        <w:rPr>
          <w:vertAlign w:val="superscript"/>
        </w:rPr>
        <w:t>3</w:t>
      </w:r>
      <w:r w:rsidR="00B14E46">
        <w:t xml:space="preserve"> could become a tool for translational health researchers in developing evidence-based strategies for precision public health interventions. It would also identify existing blind spots in the evidence for effective communication with specific populations.</w:t>
      </w:r>
    </w:p>
    <w:p w:rsidR="001D797C" w:rsidRDefault="001D797C" w:rsidP="00991FD9"/>
    <w:p w:rsidR="00D155A8" w:rsidRDefault="00D155A8">
      <w:r>
        <w:br w:type="page"/>
      </w:r>
    </w:p>
    <w:p w:rsidR="00A45C78" w:rsidRDefault="00A45C78" w:rsidP="00991FD9">
      <w:r>
        <w:lastRenderedPageBreak/>
        <w:t>References</w:t>
      </w:r>
    </w:p>
    <w:p w:rsidR="00A45C78" w:rsidRDefault="00A45C78" w:rsidP="00991FD9"/>
    <w:p w:rsidR="00A45C78" w:rsidRPr="00A45C78" w:rsidRDefault="00A45C78" w:rsidP="00A45C78">
      <w:pPr>
        <w:pStyle w:val="Bibliography"/>
      </w:pPr>
      <w:r>
        <w:fldChar w:fldCharType="begin"/>
      </w:r>
      <w:r>
        <w:instrText xml:space="preserve"> ADDIN ZOTERO_BIBL {"custom":[]} CSL_BIBLIOGRAPHY </w:instrText>
      </w:r>
      <w:r>
        <w:fldChar w:fldCharType="separate"/>
      </w:r>
      <w:r w:rsidRPr="00A45C78">
        <w:t xml:space="preserve">1. </w:t>
      </w:r>
      <w:r w:rsidRPr="00A45C78">
        <w:tab/>
        <w:t xml:space="preserve">Street RL, </w:t>
      </w:r>
      <w:proofErr w:type="spellStart"/>
      <w:r w:rsidRPr="00A45C78">
        <w:t>Makoul</w:t>
      </w:r>
      <w:proofErr w:type="spellEnd"/>
      <w:r w:rsidRPr="00A45C78">
        <w:t xml:space="preserve"> G, Arora NK, Epstein RM. How does communication heal? Pathways linking clinician–patient communication to health outcomes. </w:t>
      </w:r>
      <w:r w:rsidRPr="00A45C78">
        <w:rPr>
          <w:i/>
          <w:iCs/>
        </w:rPr>
        <w:t xml:space="preserve">Patient </w:t>
      </w:r>
      <w:proofErr w:type="spellStart"/>
      <w:r w:rsidRPr="00A45C78">
        <w:rPr>
          <w:i/>
          <w:iCs/>
        </w:rPr>
        <w:t>Educ</w:t>
      </w:r>
      <w:proofErr w:type="spellEnd"/>
      <w:r w:rsidRPr="00A45C78">
        <w:rPr>
          <w:i/>
          <w:iCs/>
        </w:rPr>
        <w:t xml:space="preserve"> </w:t>
      </w:r>
      <w:proofErr w:type="spellStart"/>
      <w:r w:rsidRPr="00A45C78">
        <w:rPr>
          <w:i/>
          <w:iCs/>
        </w:rPr>
        <w:t>Couns</w:t>
      </w:r>
      <w:proofErr w:type="spellEnd"/>
      <w:r w:rsidRPr="00A45C78">
        <w:t>. 2009</w:t>
      </w:r>
      <w:proofErr w:type="gramStart"/>
      <w:r w:rsidRPr="00A45C78">
        <w:t>;74</w:t>
      </w:r>
      <w:proofErr w:type="gramEnd"/>
      <w:r w:rsidRPr="00A45C78">
        <w:t>(3):295-301. doi:10.1016/j.pec.2008.11.015</w:t>
      </w:r>
    </w:p>
    <w:p w:rsidR="00A45C78" w:rsidRPr="00A45C78" w:rsidRDefault="00A45C78" w:rsidP="00A45C78">
      <w:pPr>
        <w:pStyle w:val="Bibliography"/>
      </w:pPr>
      <w:r w:rsidRPr="00A45C78">
        <w:t xml:space="preserve">2. </w:t>
      </w:r>
      <w:r w:rsidRPr="00A45C78">
        <w:tab/>
        <w:t>Office of Disease Prevention and Health Promotion. Healthy People 2020: Health communication and health information technology. Healthy People 2020: Health Communication and Health Information Technology. http://www.healthypeople.gov/2020/topics-objectives/topic/health-communication-and-health-information-technology. Published 2015. Accessed March 20, 2015.</w:t>
      </w:r>
    </w:p>
    <w:p w:rsidR="00A45C78" w:rsidRPr="00A45C78" w:rsidRDefault="00A45C78" w:rsidP="00A45C78">
      <w:pPr>
        <w:pStyle w:val="Bibliography"/>
      </w:pPr>
      <w:r w:rsidRPr="00A45C78">
        <w:t xml:space="preserve">3. </w:t>
      </w:r>
      <w:r w:rsidRPr="00A45C78">
        <w:tab/>
        <w:t xml:space="preserve">Smith RA. Language of the lost: An explication of stigma communication. </w:t>
      </w:r>
      <w:proofErr w:type="spellStart"/>
      <w:r w:rsidRPr="00A45C78">
        <w:rPr>
          <w:i/>
          <w:iCs/>
        </w:rPr>
        <w:t>Commun</w:t>
      </w:r>
      <w:proofErr w:type="spellEnd"/>
      <w:r w:rsidRPr="00A45C78">
        <w:rPr>
          <w:i/>
          <w:iCs/>
        </w:rPr>
        <w:t xml:space="preserve"> Theory</w:t>
      </w:r>
      <w:r w:rsidRPr="00A45C78">
        <w:t>. 2007</w:t>
      </w:r>
      <w:proofErr w:type="gramStart"/>
      <w:r w:rsidRPr="00A45C78">
        <w:t>;17</w:t>
      </w:r>
      <w:proofErr w:type="gramEnd"/>
      <w:r w:rsidRPr="00A45C78">
        <w:t>(4):462-485. doi:10.1111/j.1468-2885.2007.00307.x</w:t>
      </w:r>
    </w:p>
    <w:p w:rsidR="00A45C78" w:rsidRPr="00A45C78" w:rsidRDefault="00A45C78" w:rsidP="00A45C78">
      <w:pPr>
        <w:pStyle w:val="Bibliography"/>
      </w:pPr>
      <w:r w:rsidRPr="00A45C78">
        <w:t xml:space="preserve">4. </w:t>
      </w:r>
      <w:r w:rsidRPr="00A45C78">
        <w:tab/>
        <w:t xml:space="preserve">de </w:t>
      </w:r>
      <w:proofErr w:type="spellStart"/>
      <w:r w:rsidRPr="00A45C78">
        <w:t>Vries</w:t>
      </w:r>
      <w:proofErr w:type="spellEnd"/>
      <w:r w:rsidRPr="00A45C78">
        <w:t xml:space="preserve"> J, </w:t>
      </w:r>
      <w:proofErr w:type="spellStart"/>
      <w:r w:rsidRPr="00A45C78">
        <w:t>Jallow</w:t>
      </w:r>
      <w:proofErr w:type="spellEnd"/>
      <w:r w:rsidRPr="00A45C78">
        <w:t xml:space="preserve"> M, Williams TN, Kwiatkowski D, Parker M, Fitzpatrick R. Investigating the potential for ethnic group harm in collaborative genomics research in Africa: is ethnic </w:t>
      </w:r>
      <w:proofErr w:type="spellStart"/>
      <w:r w:rsidRPr="00A45C78">
        <w:t>stigmatisation</w:t>
      </w:r>
      <w:proofErr w:type="spellEnd"/>
      <w:r w:rsidRPr="00A45C78">
        <w:t xml:space="preserve"> likely? </w:t>
      </w:r>
      <w:proofErr w:type="spellStart"/>
      <w:r w:rsidRPr="00A45C78">
        <w:rPr>
          <w:i/>
          <w:iCs/>
        </w:rPr>
        <w:t>Soc</w:t>
      </w:r>
      <w:proofErr w:type="spellEnd"/>
      <w:r w:rsidRPr="00A45C78">
        <w:rPr>
          <w:i/>
          <w:iCs/>
        </w:rPr>
        <w:t xml:space="preserve"> </w:t>
      </w:r>
      <w:proofErr w:type="spellStart"/>
      <w:r w:rsidRPr="00A45C78">
        <w:rPr>
          <w:i/>
          <w:iCs/>
        </w:rPr>
        <w:t>Sci</w:t>
      </w:r>
      <w:proofErr w:type="spellEnd"/>
      <w:r w:rsidRPr="00A45C78">
        <w:rPr>
          <w:i/>
          <w:iCs/>
        </w:rPr>
        <w:t xml:space="preserve"> Med 1982</w:t>
      </w:r>
      <w:r w:rsidRPr="00A45C78">
        <w:t>. 2012</w:t>
      </w:r>
      <w:proofErr w:type="gramStart"/>
      <w:r w:rsidRPr="00A45C78">
        <w:t>;75</w:t>
      </w:r>
      <w:proofErr w:type="gramEnd"/>
      <w:r w:rsidRPr="00A45C78">
        <w:t>(8):1400-1407. doi:10.1016/j.socscimed.2012.05.020</w:t>
      </w:r>
    </w:p>
    <w:p w:rsidR="00A45C78" w:rsidRPr="00A45C78" w:rsidRDefault="00A45C78" w:rsidP="00A45C78">
      <w:pPr>
        <w:pStyle w:val="Bibliography"/>
      </w:pPr>
      <w:r w:rsidRPr="00A45C78">
        <w:t xml:space="preserve">5. </w:t>
      </w:r>
      <w:r w:rsidRPr="00A45C78">
        <w:tab/>
      </w:r>
      <w:proofErr w:type="spellStart"/>
      <w:r w:rsidRPr="00A45C78">
        <w:t>Gruman</w:t>
      </w:r>
      <w:proofErr w:type="spellEnd"/>
      <w:r w:rsidRPr="00A45C78">
        <w:t xml:space="preserve"> J, </w:t>
      </w:r>
      <w:proofErr w:type="spellStart"/>
      <w:r w:rsidRPr="00A45C78">
        <w:t>Rovner</w:t>
      </w:r>
      <w:proofErr w:type="spellEnd"/>
      <w:r w:rsidRPr="00A45C78">
        <w:t xml:space="preserve"> MH, French ME, et al. From patient education to patient engagement: Implications for the field of patient education. </w:t>
      </w:r>
      <w:r w:rsidRPr="00A45C78">
        <w:rPr>
          <w:i/>
          <w:iCs/>
        </w:rPr>
        <w:t xml:space="preserve">Patient </w:t>
      </w:r>
      <w:proofErr w:type="spellStart"/>
      <w:r w:rsidRPr="00A45C78">
        <w:rPr>
          <w:i/>
          <w:iCs/>
        </w:rPr>
        <w:t>Educ</w:t>
      </w:r>
      <w:proofErr w:type="spellEnd"/>
      <w:r w:rsidRPr="00A45C78">
        <w:rPr>
          <w:i/>
          <w:iCs/>
        </w:rPr>
        <w:t xml:space="preserve"> </w:t>
      </w:r>
      <w:proofErr w:type="spellStart"/>
      <w:r w:rsidRPr="00A45C78">
        <w:rPr>
          <w:i/>
          <w:iCs/>
        </w:rPr>
        <w:t>Couns</w:t>
      </w:r>
      <w:proofErr w:type="spellEnd"/>
      <w:r w:rsidRPr="00A45C78">
        <w:t>. 2010</w:t>
      </w:r>
      <w:proofErr w:type="gramStart"/>
      <w:r w:rsidRPr="00A45C78">
        <w:t>;78</w:t>
      </w:r>
      <w:proofErr w:type="gramEnd"/>
      <w:r w:rsidRPr="00A45C78">
        <w:t>(3):350-356. doi:10.1016/j.pec.2010.02.002</w:t>
      </w:r>
    </w:p>
    <w:p w:rsidR="00A45C78" w:rsidRPr="00A45C78" w:rsidRDefault="00A45C78" w:rsidP="00A45C78">
      <w:pPr>
        <w:pStyle w:val="Bibliography"/>
      </w:pPr>
      <w:r w:rsidRPr="00A45C78">
        <w:t xml:space="preserve">6. </w:t>
      </w:r>
      <w:r w:rsidRPr="00A45C78">
        <w:tab/>
        <w:t xml:space="preserve">Han PKJ, Klein WM, Lehman T, Killam B, </w:t>
      </w:r>
      <w:proofErr w:type="spellStart"/>
      <w:r w:rsidRPr="00A45C78">
        <w:t>Massett</w:t>
      </w:r>
      <w:proofErr w:type="spellEnd"/>
      <w:r w:rsidRPr="00A45C78">
        <w:t xml:space="preserve"> H, Freedman AN. Communication of uncertainty regarding individualized cancer risk estimates effects and influential factors. </w:t>
      </w:r>
      <w:r w:rsidRPr="00A45C78">
        <w:rPr>
          <w:i/>
          <w:iCs/>
        </w:rPr>
        <w:t xml:space="preserve">Med </w:t>
      </w:r>
      <w:proofErr w:type="spellStart"/>
      <w:r w:rsidRPr="00A45C78">
        <w:rPr>
          <w:i/>
          <w:iCs/>
        </w:rPr>
        <w:t>Decis</w:t>
      </w:r>
      <w:proofErr w:type="spellEnd"/>
      <w:r w:rsidRPr="00A45C78">
        <w:rPr>
          <w:i/>
          <w:iCs/>
        </w:rPr>
        <w:t xml:space="preserve"> Making</w:t>
      </w:r>
      <w:r w:rsidRPr="00A45C78">
        <w:t>. 2011</w:t>
      </w:r>
      <w:proofErr w:type="gramStart"/>
      <w:r w:rsidRPr="00A45C78">
        <w:t>;31</w:t>
      </w:r>
      <w:proofErr w:type="gramEnd"/>
      <w:r w:rsidRPr="00A45C78">
        <w:t>(2):354–366.</w:t>
      </w:r>
    </w:p>
    <w:p w:rsidR="00A45C78" w:rsidRPr="00A45C78" w:rsidRDefault="00A45C78" w:rsidP="00A45C78">
      <w:pPr>
        <w:pStyle w:val="Bibliography"/>
      </w:pPr>
      <w:r w:rsidRPr="00A45C78">
        <w:t xml:space="preserve">7. </w:t>
      </w:r>
      <w:r w:rsidRPr="00A45C78">
        <w:tab/>
      </w:r>
      <w:proofErr w:type="spellStart"/>
      <w:r w:rsidRPr="00A45C78">
        <w:t>Khoury</w:t>
      </w:r>
      <w:proofErr w:type="spellEnd"/>
      <w:r w:rsidRPr="00A45C78">
        <w:t xml:space="preserve"> MJ, </w:t>
      </w:r>
      <w:proofErr w:type="spellStart"/>
      <w:r w:rsidRPr="00A45C78">
        <w:t>Iademarco</w:t>
      </w:r>
      <w:proofErr w:type="spellEnd"/>
      <w:r w:rsidRPr="00A45C78">
        <w:t xml:space="preserve"> MF, Riley WT. Precision Public Health for the Era of Precision Medicine. </w:t>
      </w:r>
      <w:r w:rsidRPr="00A45C78">
        <w:rPr>
          <w:i/>
          <w:iCs/>
        </w:rPr>
        <w:t xml:space="preserve">Am J </w:t>
      </w:r>
      <w:proofErr w:type="spellStart"/>
      <w:r w:rsidRPr="00A45C78">
        <w:rPr>
          <w:i/>
          <w:iCs/>
        </w:rPr>
        <w:t>Prev</w:t>
      </w:r>
      <w:proofErr w:type="spellEnd"/>
      <w:r w:rsidRPr="00A45C78">
        <w:rPr>
          <w:i/>
          <w:iCs/>
        </w:rPr>
        <w:t xml:space="preserve"> Med</w:t>
      </w:r>
      <w:r w:rsidRPr="00A45C78">
        <w:t>. 2016</w:t>
      </w:r>
      <w:proofErr w:type="gramStart"/>
      <w:r w:rsidRPr="00A45C78">
        <w:t>;50</w:t>
      </w:r>
      <w:proofErr w:type="gramEnd"/>
      <w:r w:rsidRPr="00A45C78">
        <w:t>(3):398-401. doi:10.1016/j.amepre.2015.08.031</w:t>
      </w:r>
    </w:p>
    <w:p w:rsidR="00A45C78" w:rsidRPr="00A45C78" w:rsidRDefault="00A45C78" w:rsidP="00A45C78">
      <w:pPr>
        <w:pStyle w:val="Bibliography"/>
      </w:pPr>
      <w:r w:rsidRPr="00A45C78">
        <w:t xml:space="preserve">8. </w:t>
      </w:r>
      <w:r w:rsidRPr="00A45C78">
        <w:tab/>
      </w:r>
      <w:proofErr w:type="spellStart"/>
      <w:r w:rsidRPr="00A45C78">
        <w:t>Maibach</w:t>
      </w:r>
      <w:proofErr w:type="spellEnd"/>
      <w:r w:rsidRPr="00A45C78">
        <w:t xml:space="preserve"> EW, Parrott RL. </w:t>
      </w:r>
      <w:r w:rsidRPr="00A45C78">
        <w:rPr>
          <w:i/>
          <w:iCs/>
        </w:rPr>
        <w:t>Designing Health Messages: Approaches from Communication Theory and Public Health Practice</w:t>
      </w:r>
      <w:r w:rsidRPr="00A45C78">
        <w:t>. SAGE Publications; 1995.</w:t>
      </w:r>
    </w:p>
    <w:p w:rsidR="00A45C78" w:rsidRPr="00A45C78" w:rsidRDefault="00A45C78" w:rsidP="00A45C78">
      <w:pPr>
        <w:pStyle w:val="Bibliography"/>
      </w:pPr>
      <w:r w:rsidRPr="00A45C78">
        <w:t xml:space="preserve">9. </w:t>
      </w:r>
      <w:r w:rsidRPr="00A45C78">
        <w:tab/>
        <w:t xml:space="preserve">Moorhead SA, Hazlett DE, Harrison L, Carroll JK, Irwin A, </w:t>
      </w:r>
      <w:proofErr w:type="spellStart"/>
      <w:r w:rsidRPr="00A45C78">
        <w:t>Hoving</w:t>
      </w:r>
      <w:proofErr w:type="spellEnd"/>
      <w:r w:rsidRPr="00A45C78">
        <w:t xml:space="preserve"> C. A new dimension of health care: Systematic review of the uses, benefits, and limitations of social media for health communication. </w:t>
      </w:r>
      <w:r w:rsidRPr="00A45C78">
        <w:rPr>
          <w:i/>
          <w:iCs/>
        </w:rPr>
        <w:t>J Med Internet Res</w:t>
      </w:r>
      <w:r w:rsidRPr="00A45C78">
        <w:t>. 2013</w:t>
      </w:r>
      <w:proofErr w:type="gramStart"/>
      <w:r w:rsidRPr="00A45C78">
        <w:t>;15</w:t>
      </w:r>
      <w:proofErr w:type="gramEnd"/>
      <w:r w:rsidRPr="00A45C78">
        <w:t>(4). doi:10.2196/jmir.1933</w:t>
      </w:r>
    </w:p>
    <w:p w:rsidR="00A45C78" w:rsidRPr="00A45C78" w:rsidRDefault="00A45C78" w:rsidP="00A45C78">
      <w:pPr>
        <w:pStyle w:val="Bibliography"/>
      </w:pPr>
      <w:r w:rsidRPr="00A45C78">
        <w:t xml:space="preserve">10. </w:t>
      </w:r>
      <w:r w:rsidRPr="00A45C78">
        <w:tab/>
        <w:t xml:space="preserve">Lundgren RE, </w:t>
      </w:r>
      <w:proofErr w:type="spellStart"/>
      <w:r w:rsidRPr="00A45C78">
        <w:t>McMakin</w:t>
      </w:r>
      <w:proofErr w:type="spellEnd"/>
      <w:r w:rsidRPr="00A45C78">
        <w:t xml:space="preserve"> AH. </w:t>
      </w:r>
      <w:r w:rsidRPr="00A45C78">
        <w:rPr>
          <w:i/>
          <w:iCs/>
        </w:rPr>
        <w:t>Risk Communication: A Handbook for Communicating Environmental, Safety, and Health Risks</w:t>
      </w:r>
      <w:r w:rsidRPr="00A45C78">
        <w:t>. John Wiley &amp; Sons; 2013.</w:t>
      </w:r>
    </w:p>
    <w:p w:rsidR="00A45C78" w:rsidRPr="00A45C78" w:rsidRDefault="00A45C78" w:rsidP="00A45C78">
      <w:pPr>
        <w:pStyle w:val="Bibliography"/>
      </w:pPr>
      <w:r w:rsidRPr="00A45C78">
        <w:t xml:space="preserve">11. </w:t>
      </w:r>
      <w:r w:rsidRPr="00A45C78">
        <w:tab/>
      </w:r>
      <w:proofErr w:type="spellStart"/>
      <w:r w:rsidRPr="00A45C78">
        <w:t>Scherr</w:t>
      </w:r>
      <w:proofErr w:type="spellEnd"/>
      <w:r w:rsidRPr="00A45C78">
        <w:t xml:space="preserve"> CL, Dean M, Clayton MF, et al. A Research Agenda for Communication Scholars in the Precision Medicine Era. </w:t>
      </w:r>
      <w:r w:rsidRPr="00A45C78">
        <w:rPr>
          <w:i/>
          <w:iCs/>
        </w:rPr>
        <w:t xml:space="preserve">J Health </w:t>
      </w:r>
      <w:proofErr w:type="spellStart"/>
      <w:r w:rsidRPr="00A45C78">
        <w:rPr>
          <w:i/>
          <w:iCs/>
        </w:rPr>
        <w:t>Commun</w:t>
      </w:r>
      <w:proofErr w:type="spellEnd"/>
      <w:r w:rsidRPr="00A45C78">
        <w:t>. 2017</w:t>
      </w:r>
      <w:proofErr w:type="gramStart"/>
      <w:r w:rsidRPr="00A45C78">
        <w:t>;22</w:t>
      </w:r>
      <w:proofErr w:type="gramEnd"/>
      <w:r w:rsidRPr="00A45C78">
        <w:t>(10):839-848. doi:10.1080/10810730.2017.1363324</w:t>
      </w:r>
    </w:p>
    <w:p w:rsidR="00A45C78" w:rsidRDefault="00A45C78">
      <w:r>
        <w:fldChar w:fldCharType="end"/>
      </w:r>
      <w:bookmarkStart w:id="0" w:name="_GoBack"/>
      <w:bookmarkEnd w:id="0"/>
      <w:r>
        <w:br w:type="page"/>
      </w:r>
    </w:p>
    <w:p w:rsidR="001D797C" w:rsidRDefault="001D797C" w:rsidP="00991FD9">
      <w:r>
        <w:lastRenderedPageBreak/>
        <w:t>Appendix A</w:t>
      </w:r>
    </w:p>
    <w:p w:rsidR="001D797C" w:rsidRDefault="001D797C" w:rsidP="00991FD9"/>
    <w:p w:rsidR="001D797C" w:rsidRDefault="001D797C" w:rsidP="001D797C">
      <w:r>
        <w:t xml:space="preserve">DRAFT: </w:t>
      </w:r>
      <w:r>
        <w:t>List of topical areas</w:t>
      </w:r>
      <w:r>
        <w:t xml:space="preserve"> for risk communication </w:t>
      </w:r>
      <w:r>
        <w:t>evidence</w:t>
      </w:r>
    </w:p>
    <w:p w:rsidR="001D797C" w:rsidRDefault="001D797C" w:rsidP="001D797C"/>
    <w:p w:rsidR="001A07AB" w:rsidRDefault="001A07AB" w:rsidP="001A07AB">
      <w:r>
        <w:t>Abdominal Aortic Aneurysm: Screening</w:t>
      </w:r>
    </w:p>
    <w:p w:rsidR="001A07AB" w:rsidRDefault="001A07AB" w:rsidP="001A07AB">
      <w:r>
        <w:t>Abnormal Blood Glucose and Type 2 Diabetes Mellitus: Screening</w:t>
      </w:r>
    </w:p>
    <w:p w:rsidR="001A07AB" w:rsidRDefault="001A07AB" w:rsidP="001A07AB">
      <w:r>
        <w:t>Alcohol Misuse: Screening and Behavioral Counseling Interventions in Primary Care</w:t>
      </w:r>
    </w:p>
    <w:p w:rsidR="001A07AB" w:rsidRDefault="001A07AB" w:rsidP="001A07AB">
      <w:r>
        <w:t>Aspirin Use to Prevent Cardiovascular Disease and Colorectal Cancer: Preventive Medication</w:t>
      </w:r>
    </w:p>
    <w:p w:rsidR="001A07AB" w:rsidRDefault="001A07AB" w:rsidP="001A07AB">
      <w:r>
        <w:t>Asymptomatic Bacteriuria in Adults: Screening</w:t>
      </w:r>
    </w:p>
    <w:p w:rsidR="001A07AB" w:rsidRDefault="001A07AB" w:rsidP="001A07AB">
      <w:r>
        <w:t>BRCA-Related Cancer: Risk Assessment, Genetic Counseling, and Genetic Testing</w:t>
      </w:r>
    </w:p>
    <w:p w:rsidR="001A07AB" w:rsidRDefault="001A07AB" w:rsidP="001A07AB">
      <w:r>
        <w:t>Breast Cancer: Medications for Risk Reduction</w:t>
      </w:r>
    </w:p>
    <w:p w:rsidR="001A07AB" w:rsidRDefault="001A07AB" w:rsidP="001A07AB">
      <w:r>
        <w:t>Breast Cancer: Screening</w:t>
      </w:r>
    </w:p>
    <w:p w:rsidR="001A07AB" w:rsidRDefault="001A07AB" w:rsidP="001A07AB">
      <w:r>
        <w:t>Breastfeeding: Primary Care Interventions</w:t>
      </w:r>
    </w:p>
    <w:p w:rsidR="001A07AB" w:rsidRDefault="001A07AB" w:rsidP="001A07AB">
      <w:r>
        <w:t>Cervical Cancer: Screening</w:t>
      </w:r>
    </w:p>
    <w:p w:rsidR="001A07AB" w:rsidRDefault="001A07AB" w:rsidP="001A07AB">
      <w:r>
        <w:t>Chlamydia and Gonorrhea: Screening</w:t>
      </w:r>
    </w:p>
    <w:p w:rsidR="001A07AB" w:rsidRDefault="001A07AB" w:rsidP="001A07AB">
      <w:r>
        <w:t>Colorectal Cancer: Screening</w:t>
      </w:r>
    </w:p>
    <w:p w:rsidR="001A07AB" w:rsidRDefault="001A07AB" w:rsidP="001A07AB">
      <w:r>
        <w:t>Congenital Hypothyroidism: Screening (Referred)</w:t>
      </w:r>
    </w:p>
    <w:p w:rsidR="001A07AB" w:rsidRDefault="001A07AB" w:rsidP="001A07AB">
      <w:r>
        <w:t>Coronary Heart Disease: Screening with Electrocardiography</w:t>
      </w:r>
    </w:p>
    <w:p w:rsidR="001A07AB" w:rsidRDefault="001A07AB" w:rsidP="001A07AB">
      <w:r>
        <w:t xml:space="preserve">Dental Caries in Children from Birth </w:t>
      </w:r>
      <w:proofErr w:type="gramStart"/>
      <w:r>
        <w:t>Through</w:t>
      </w:r>
      <w:proofErr w:type="gramEnd"/>
      <w:r>
        <w:t xml:space="preserve"> Age 5 Years: Screening</w:t>
      </w:r>
    </w:p>
    <w:p w:rsidR="001A07AB" w:rsidRDefault="001A07AB" w:rsidP="001A07AB">
      <w:r>
        <w:t>Depression in Adults: Screening</w:t>
      </w:r>
    </w:p>
    <w:p w:rsidR="001A07AB" w:rsidRDefault="001A07AB" w:rsidP="001A07AB">
      <w:r>
        <w:t>Depression in Children and Adolescents: Screening</w:t>
      </w:r>
    </w:p>
    <w:p w:rsidR="001A07AB" w:rsidRDefault="001A07AB" w:rsidP="001A07AB">
      <w:r>
        <w:t>Developmental Hip Dysplasia: Screening</w:t>
      </w:r>
    </w:p>
    <w:p w:rsidR="001A07AB" w:rsidRDefault="001A07AB" w:rsidP="001A07AB">
      <w:r>
        <w:t>Drug Use, Illicit: Screening</w:t>
      </w:r>
    </w:p>
    <w:p w:rsidR="001A07AB" w:rsidRDefault="001A07AB" w:rsidP="001A07AB">
      <w:r>
        <w:t>Drug Use, Illicit: Primary Care Interventions for Children and Adolescents</w:t>
      </w:r>
    </w:p>
    <w:p w:rsidR="001A07AB" w:rsidRDefault="001A07AB" w:rsidP="001A07AB">
      <w:r>
        <w:t>Falls Prevention in Older Adults: Counseling and Preventive Medication</w:t>
      </w:r>
    </w:p>
    <w:p w:rsidR="001A07AB" w:rsidRDefault="001A07AB" w:rsidP="001A07AB">
      <w:r>
        <w:t>Folic Acid for the Prevention of Neural Tube Defects: Preventive Medication</w:t>
      </w:r>
    </w:p>
    <w:p w:rsidR="001A07AB" w:rsidRDefault="001A07AB" w:rsidP="001A07AB">
      <w:r>
        <w:t>Genital Herpes Infection: Serologic Screening</w:t>
      </w:r>
    </w:p>
    <w:p w:rsidR="001A07AB" w:rsidRDefault="001A07AB" w:rsidP="001A07AB">
      <w:r>
        <w:t>Gestational Diabetes Mellitus, Screening</w:t>
      </w:r>
    </w:p>
    <w:p w:rsidR="001A07AB" w:rsidRDefault="001A07AB" w:rsidP="001A07AB">
      <w:r>
        <w:t>Glaucoma: Screening</w:t>
      </w:r>
    </w:p>
    <w:p w:rsidR="001A07AB" w:rsidRDefault="001A07AB" w:rsidP="001A07AB">
      <w:r>
        <w:t xml:space="preserve">Gynecological Conditions: Periodic Screening </w:t>
      </w:r>
      <w:proofErr w:type="gramStart"/>
      <w:r>
        <w:t>With</w:t>
      </w:r>
      <w:proofErr w:type="gramEnd"/>
      <w:r>
        <w:t xml:space="preserve"> the Pelvic Examination</w:t>
      </w:r>
    </w:p>
    <w:p w:rsidR="001A07AB" w:rsidRDefault="001A07AB" w:rsidP="001A07AB">
      <w:r>
        <w:t xml:space="preserve">Healthful Diet and Physical Activity for Cardiovascular Disease Prevention in Adults </w:t>
      </w:r>
      <w:proofErr w:type="gramStart"/>
      <w:r>
        <w:t>With</w:t>
      </w:r>
      <w:proofErr w:type="gramEnd"/>
      <w:r>
        <w:t xml:space="preserve"> Cardiovascular Risk Factors: Behavioral Counseling</w:t>
      </w:r>
    </w:p>
    <w:p w:rsidR="001A07AB" w:rsidRDefault="001A07AB" w:rsidP="001A07AB">
      <w:r>
        <w:t xml:space="preserve">Healthful Diet and Physical Activity for Cardiovascular Disease Prevention in Adults </w:t>
      </w:r>
      <w:proofErr w:type="gramStart"/>
      <w:r>
        <w:t>Without</w:t>
      </w:r>
      <w:proofErr w:type="gramEnd"/>
      <w:r>
        <w:t xml:space="preserve"> Known Risk Factors: Behavioral Counseling</w:t>
      </w:r>
    </w:p>
    <w:p w:rsidR="001A07AB" w:rsidRDefault="001A07AB" w:rsidP="001A07AB">
      <w:r>
        <w:t>Hearing Loss in Older Adults: Screening</w:t>
      </w:r>
    </w:p>
    <w:p w:rsidR="001A07AB" w:rsidRDefault="001A07AB" w:rsidP="001A07AB">
      <w:r>
        <w:t>Hepatitis B in Pregnant Women: Screening</w:t>
      </w:r>
    </w:p>
    <w:p w:rsidR="001A07AB" w:rsidRDefault="001A07AB" w:rsidP="001A07AB">
      <w:r>
        <w:t>Hepatitis B Virus Infection: Screening, 2014</w:t>
      </w:r>
    </w:p>
    <w:p w:rsidR="001A07AB" w:rsidRDefault="001A07AB" w:rsidP="001A07AB">
      <w:r>
        <w:t>Hepatitis C: Screening</w:t>
      </w:r>
    </w:p>
    <w:p w:rsidR="001A07AB" w:rsidRDefault="001A07AB" w:rsidP="001A07AB">
      <w:r>
        <w:t>High Blood Pressure in Adults: Screening</w:t>
      </w:r>
    </w:p>
    <w:p w:rsidR="001A07AB" w:rsidRDefault="001A07AB" w:rsidP="001A07AB">
      <w:r>
        <w:t>Hormone Therapy in Postmenopausal Women: Primary Prevention of Chronic Conditions</w:t>
      </w:r>
    </w:p>
    <w:p w:rsidR="001A07AB" w:rsidRDefault="001A07AB" w:rsidP="001A07AB">
      <w:r>
        <w:t>Human Immunodeficiency Virus (HIV) Infection: Screening</w:t>
      </w:r>
    </w:p>
    <w:p w:rsidR="001A07AB" w:rsidRDefault="001A07AB" w:rsidP="001A07AB">
      <w:r>
        <w:t>Immunizations for Adults (Referred)</w:t>
      </w:r>
    </w:p>
    <w:p w:rsidR="001A07AB" w:rsidRDefault="001A07AB" w:rsidP="001A07AB">
      <w:r>
        <w:t>Immunizations for Children (Referred)</w:t>
      </w:r>
    </w:p>
    <w:p w:rsidR="001A07AB" w:rsidRDefault="001A07AB" w:rsidP="001A07AB">
      <w:r>
        <w:t>Impaired Visual Acuity in Older Adults: Screening</w:t>
      </w:r>
    </w:p>
    <w:p w:rsidR="001A07AB" w:rsidRDefault="001A07AB" w:rsidP="001A07AB">
      <w:r>
        <w:t>Intimate Partner Violence and Abuse of Elderly and Vulnerable Adults: Screening</w:t>
      </w:r>
    </w:p>
    <w:p w:rsidR="001A07AB" w:rsidRDefault="001A07AB" w:rsidP="001A07AB">
      <w:r>
        <w:t>Iron Deficiency Anemia in Pregnant Women: Screening and Supplementation</w:t>
      </w:r>
    </w:p>
    <w:p w:rsidR="001A07AB" w:rsidRDefault="001A07AB" w:rsidP="001A07AB">
      <w:r>
        <w:t>Iron Deficiency Anemia in Young Children: Screening</w:t>
      </w:r>
    </w:p>
    <w:p w:rsidR="001A07AB" w:rsidRDefault="001A07AB" w:rsidP="001A07AB">
      <w:r>
        <w:t>Latent Tuberculosis Infection: Screening</w:t>
      </w:r>
    </w:p>
    <w:p w:rsidR="001A07AB" w:rsidRDefault="001A07AB" w:rsidP="001A07AB">
      <w:r>
        <w:t>Lead Levels in Childhood and Pregnancy: Screening</w:t>
      </w:r>
    </w:p>
    <w:p w:rsidR="001A07AB" w:rsidRDefault="001A07AB" w:rsidP="001A07AB">
      <w:r>
        <w:t>Lipid Disorders in Children and Adolescents: Screening</w:t>
      </w:r>
    </w:p>
    <w:p w:rsidR="001A07AB" w:rsidRDefault="001A07AB" w:rsidP="001A07AB">
      <w:r>
        <w:t xml:space="preserve">Low-Dose Aspirin Use for the Prevention of Morbidity and Mortality </w:t>
      </w:r>
      <w:proofErr w:type="gramStart"/>
      <w:r>
        <w:t>From</w:t>
      </w:r>
      <w:proofErr w:type="gramEnd"/>
      <w:r>
        <w:t xml:space="preserve"> Preeclampsia: Preventive Medication</w:t>
      </w:r>
    </w:p>
    <w:p w:rsidR="001A07AB" w:rsidRDefault="001A07AB" w:rsidP="001A07AB">
      <w:r>
        <w:t>Lung Cancer: Screening</w:t>
      </w:r>
    </w:p>
    <w:p w:rsidR="001A07AB" w:rsidRDefault="001A07AB" w:rsidP="001A07AB">
      <w:r>
        <w:t xml:space="preserve">Motor Vehicle Occupant Restraints: </w:t>
      </w:r>
      <w:proofErr w:type="gramStart"/>
      <w:r>
        <w:t>Counseling(</w:t>
      </w:r>
      <w:proofErr w:type="gramEnd"/>
      <w:r>
        <w:t>Referred)</w:t>
      </w:r>
    </w:p>
    <w:p w:rsidR="001A07AB" w:rsidRDefault="001A07AB" w:rsidP="001A07AB">
      <w:r>
        <w:t>Obesity in Adults: Screening and Management</w:t>
      </w:r>
    </w:p>
    <w:p w:rsidR="001A07AB" w:rsidRDefault="001A07AB" w:rsidP="001A07AB">
      <w:r>
        <w:t>Obesity in Children and Adolescents: Screening</w:t>
      </w:r>
    </w:p>
    <w:p w:rsidR="001A07AB" w:rsidRDefault="001A07AB" w:rsidP="001A07AB">
      <w:r>
        <w:t>Obstructive Sleep Apnea in Adults: Screening</w:t>
      </w:r>
    </w:p>
    <w:p w:rsidR="001A07AB" w:rsidRDefault="001A07AB" w:rsidP="001A07AB">
      <w:r>
        <w:lastRenderedPageBreak/>
        <w:t xml:space="preserve">Ocular Prophylaxis for Gonococcal </w:t>
      </w:r>
      <w:proofErr w:type="spellStart"/>
      <w:r>
        <w:t>Ophthalmia</w:t>
      </w:r>
      <w:proofErr w:type="spellEnd"/>
      <w:r>
        <w:t xml:space="preserve"> </w:t>
      </w:r>
      <w:proofErr w:type="spellStart"/>
      <w:r>
        <w:t>Neonatorum</w:t>
      </w:r>
      <w:proofErr w:type="spellEnd"/>
      <w:r>
        <w:t>: Preventive Medication</w:t>
      </w:r>
    </w:p>
    <w:p w:rsidR="001A07AB" w:rsidRDefault="001A07AB" w:rsidP="001A07AB">
      <w:r>
        <w:t>Oral Cancer: Screening</w:t>
      </w:r>
    </w:p>
    <w:p w:rsidR="001A07AB" w:rsidRDefault="001A07AB" w:rsidP="001A07AB">
      <w:r>
        <w:t>Osteoporosis: Screening</w:t>
      </w:r>
    </w:p>
    <w:p w:rsidR="001A07AB" w:rsidRDefault="001A07AB" w:rsidP="001A07AB">
      <w:r>
        <w:t>Ovarian Cancer: Screening</w:t>
      </w:r>
    </w:p>
    <w:p w:rsidR="001A07AB" w:rsidRDefault="001A07AB" w:rsidP="001A07AB">
      <w:r>
        <w:t>Pancreatic Cancer: Screening</w:t>
      </w:r>
    </w:p>
    <w:p w:rsidR="001A07AB" w:rsidRDefault="001A07AB" w:rsidP="001A07AB">
      <w:r>
        <w:t>Peripheral Arterial Disease (PAD) and CVD in Adults: Risk Assessment with Ankle Brachial Index</w:t>
      </w:r>
    </w:p>
    <w:p w:rsidR="001A07AB" w:rsidRDefault="001A07AB" w:rsidP="001A07AB">
      <w:r>
        <w:t>Phenylketonuria in Newborns: Screening (Referred)</w:t>
      </w:r>
    </w:p>
    <w:p w:rsidR="001A07AB" w:rsidRDefault="001A07AB" w:rsidP="001A07AB">
      <w:r>
        <w:t>Preeclampsia: Screening</w:t>
      </w:r>
    </w:p>
    <w:p w:rsidR="001A07AB" w:rsidRDefault="001A07AB" w:rsidP="001A07AB">
      <w:r>
        <w:t>Prostate Cancer: Screening</w:t>
      </w:r>
    </w:p>
    <w:p w:rsidR="001A07AB" w:rsidRDefault="001A07AB" w:rsidP="001A07AB">
      <w:proofErr w:type="gramStart"/>
      <w:r>
        <w:t>Rh(</w:t>
      </w:r>
      <w:proofErr w:type="gramEnd"/>
      <w:r>
        <w:t>D) Incompatibility: Screening</w:t>
      </w:r>
    </w:p>
    <w:p w:rsidR="001A07AB" w:rsidRDefault="001A07AB" w:rsidP="001A07AB">
      <w:r>
        <w:t>Rubella: Immunizations (Referred)</w:t>
      </w:r>
    </w:p>
    <w:p w:rsidR="001A07AB" w:rsidRDefault="001A07AB" w:rsidP="001A07AB">
      <w:r>
        <w:t>Sexually Transmitted Infections: Behavioral Counseling</w:t>
      </w:r>
    </w:p>
    <w:p w:rsidR="001A07AB" w:rsidRDefault="001A07AB" w:rsidP="001A07AB">
      <w:r>
        <w:t>Sickle Cell Disease (</w:t>
      </w:r>
      <w:proofErr w:type="spellStart"/>
      <w:r>
        <w:t>Hemoglobinopathies</w:t>
      </w:r>
      <w:proofErr w:type="spellEnd"/>
      <w:r>
        <w:t>) in Newborns: Screening (Referred)</w:t>
      </w:r>
    </w:p>
    <w:p w:rsidR="001A07AB" w:rsidRDefault="001A07AB" w:rsidP="001A07AB">
      <w:r>
        <w:t>Skin Cancer: Counseling</w:t>
      </w:r>
    </w:p>
    <w:p w:rsidR="001A07AB" w:rsidRDefault="001A07AB" w:rsidP="001A07AB">
      <w:r>
        <w:t>Skin Cancer: Screening</w:t>
      </w:r>
      <w:r>
        <w:cr/>
      </w:r>
    </w:p>
    <w:p w:rsidR="001D797C" w:rsidRDefault="001D797C" w:rsidP="001D797C"/>
    <w:p w:rsidR="001D797C" w:rsidRDefault="001D797C" w:rsidP="00991FD9"/>
    <w:p w:rsidR="00991FD9" w:rsidRDefault="00991FD9"/>
    <w:p w:rsidR="00BA3C27" w:rsidRDefault="00BA3C27"/>
    <w:p w:rsidR="00D155A8" w:rsidRDefault="00D155A8">
      <w:r>
        <w:br w:type="page"/>
      </w:r>
    </w:p>
    <w:p w:rsidR="00B24D4C" w:rsidRDefault="00B24D4C">
      <w:r>
        <w:lastRenderedPageBreak/>
        <w:t>Appendix B</w:t>
      </w:r>
    </w:p>
    <w:p w:rsidR="00B24D4C" w:rsidRDefault="00B24D4C"/>
    <w:p w:rsidR="00627B24" w:rsidRDefault="000612A8">
      <w:r>
        <w:t>DRAFT: Codebook for risk communication messages</w:t>
      </w:r>
    </w:p>
    <w:p w:rsidR="000612A8" w:rsidRDefault="000612A8"/>
    <w:p w:rsidR="00C22E3F" w:rsidRDefault="00C22E3F" w:rsidP="000612A8">
      <w:pPr>
        <w:pStyle w:val="ListParagraph"/>
      </w:pPr>
      <w:r>
        <w:t>Topical area</w:t>
      </w:r>
      <w:r w:rsidRPr="000612A8">
        <w:t xml:space="preserve"> </w:t>
      </w:r>
      <w:r>
        <w:t>(to be used to link with health indicators datasets)</w:t>
      </w:r>
    </w:p>
    <w:p w:rsidR="00C22E3F" w:rsidRDefault="00B24D4C" w:rsidP="00C22E3F">
      <w:r>
        <w:t xml:space="preserve">Diseases and conditions </w:t>
      </w:r>
      <w:r w:rsidR="00C22E3F">
        <w:t>TBD</w:t>
      </w:r>
      <w:r>
        <w:t xml:space="preserve"> based on the Appendix A</w:t>
      </w:r>
    </w:p>
    <w:p w:rsidR="00C22E3F" w:rsidRDefault="00C22E3F" w:rsidP="00C22E3F"/>
    <w:p w:rsidR="000612A8" w:rsidRPr="000612A8" w:rsidRDefault="000612A8" w:rsidP="00C22E3F">
      <w:pPr>
        <w:pStyle w:val="ListParagraph"/>
      </w:pPr>
      <w:r w:rsidRPr="000612A8">
        <w:t>Audience characteristics</w:t>
      </w:r>
      <w:r w:rsidR="00C22E3F">
        <w:t xml:space="preserve"> </w:t>
      </w:r>
      <w:r w:rsidR="00C22E3F">
        <w:t>(to be used to link with health indicators datasets)</w:t>
      </w:r>
    </w:p>
    <w:p w:rsidR="000612A8" w:rsidRDefault="002C5A53" w:rsidP="005E75D5">
      <w:r>
        <w:t>Demographics</w:t>
      </w:r>
      <w:r w:rsidR="005E75D5">
        <w:t xml:space="preserve"> (g</w:t>
      </w:r>
      <w:r w:rsidR="000612A8">
        <w:t>ender</w:t>
      </w:r>
      <w:r w:rsidR="005E75D5">
        <w:t>, a</w:t>
      </w:r>
      <w:r w:rsidR="000612A8">
        <w:t>ge group</w:t>
      </w:r>
      <w:r w:rsidR="005E75D5">
        <w:t>, r</w:t>
      </w:r>
      <w:r w:rsidR="000612A8">
        <w:t>ace</w:t>
      </w:r>
      <w:r w:rsidR="005E75D5">
        <w:t>, e</w:t>
      </w:r>
      <w:r w:rsidR="000612A8">
        <w:t>thnicity</w:t>
      </w:r>
      <w:r w:rsidR="005E75D5">
        <w:t>)</w:t>
      </w:r>
    </w:p>
    <w:p w:rsidR="000612A8" w:rsidRDefault="000612A8" w:rsidP="000612A8">
      <w:r>
        <w:t xml:space="preserve">Socio-economic status </w:t>
      </w:r>
      <w:r w:rsidR="005E75D5">
        <w:t>(i</w:t>
      </w:r>
      <w:r>
        <w:t>ncome</w:t>
      </w:r>
      <w:r w:rsidR="005E75D5">
        <w:t>, l</w:t>
      </w:r>
      <w:r>
        <w:t>evel of education/literacy</w:t>
      </w:r>
      <w:r w:rsidR="005E75D5">
        <w:t>)</w:t>
      </w:r>
    </w:p>
    <w:p w:rsidR="00C22E3F" w:rsidRDefault="00C22E3F" w:rsidP="000612A8">
      <w:r>
        <w:t>Sociographic information (</w:t>
      </w:r>
      <w:r>
        <w:t>rural/urban homestead</w:t>
      </w:r>
      <w:r>
        <w:t>)</w:t>
      </w:r>
    </w:p>
    <w:p w:rsidR="000612A8" w:rsidRDefault="000612A8" w:rsidP="000612A8"/>
    <w:p w:rsidR="000612A8" w:rsidRDefault="005E75D5" w:rsidP="005E75D5">
      <w:pPr>
        <w:pStyle w:val="ListParagraph"/>
      </w:pPr>
      <w:r>
        <w:t>Message characteristics</w:t>
      </w:r>
    </w:p>
    <w:p w:rsidR="005E75D5" w:rsidRDefault="005E75D5" w:rsidP="005E75D5">
      <w:r>
        <w:t xml:space="preserve">Channel (face-to-face, </w:t>
      </w:r>
      <w:r w:rsidR="002C5A53">
        <w:t>broadcasting, technology-mediated</w:t>
      </w:r>
      <w:r>
        <w:t>)</w:t>
      </w:r>
    </w:p>
    <w:p w:rsidR="005E75D5" w:rsidRDefault="005E75D5" w:rsidP="005E75D5">
      <w:r>
        <w:t>Modality (text, image, video)</w:t>
      </w:r>
    </w:p>
    <w:p w:rsidR="005E75D5" w:rsidRDefault="00C22E3F" w:rsidP="00C22E3F">
      <w:r>
        <w:t>Target receiver (individual, caregiver, family, community)</w:t>
      </w:r>
    </w:p>
    <w:p w:rsidR="00C22E3F" w:rsidRDefault="00C22E3F" w:rsidP="00C22E3F">
      <w:r>
        <w:t>TBD</w:t>
      </w:r>
    </w:p>
    <w:p w:rsidR="00BA3C27" w:rsidRDefault="00BA3C27" w:rsidP="00C22E3F"/>
    <w:p w:rsidR="00BA3C27" w:rsidRDefault="00BA3C27" w:rsidP="00BA3C27">
      <w:pPr>
        <w:pStyle w:val="ListParagraph"/>
      </w:pPr>
      <w:r>
        <w:t>Source of evidence</w:t>
      </w:r>
    </w:p>
    <w:p w:rsidR="00BA3C27" w:rsidRDefault="00BA3C27" w:rsidP="00BA3C27">
      <w:r>
        <w:t>Method (</w:t>
      </w:r>
      <w:proofErr w:type="spellStart"/>
      <w:r>
        <w:t>quan</w:t>
      </w:r>
      <w:proofErr w:type="spellEnd"/>
      <w:r>
        <w:t xml:space="preserve">, </w:t>
      </w:r>
      <w:proofErr w:type="spellStart"/>
      <w:r>
        <w:t>qual</w:t>
      </w:r>
      <w:proofErr w:type="spellEnd"/>
      <w:r>
        <w:t>, mixed methods)</w:t>
      </w:r>
    </w:p>
    <w:p w:rsidR="00BA3C27" w:rsidRDefault="00BA3C27" w:rsidP="00BA3C27">
      <w:r>
        <w:t>Study design</w:t>
      </w:r>
    </w:p>
    <w:p w:rsidR="00BA3C27" w:rsidRDefault="00BA3C27" w:rsidP="00BA3C27">
      <w:r>
        <w:t>Theoretical framework</w:t>
      </w:r>
    </w:p>
    <w:p w:rsidR="000612A8" w:rsidRDefault="000612A8">
      <w:r>
        <w:tab/>
      </w:r>
    </w:p>
    <w:p w:rsidR="000612A8" w:rsidRDefault="000612A8"/>
    <w:p w:rsidR="000612A8" w:rsidRDefault="000612A8"/>
    <w:p w:rsidR="000612A8" w:rsidRDefault="000612A8"/>
    <w:sectPr w:rsidR="000612A8" w:rsidSect="00C22E3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1407C3"/>
    <w:multiLevelType w:val="hybridMultilevel"/>
    <w:tmpl w:val="F0521F76"/>
    <w:lvl w:ilvl="0" w:tplc="44D2B104">
      <w:start w:val="1"/>
      <w:numFmt w:val="upperRoman"/>
      <w:pStyle w:val="ListParagraph"/>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12A8"/>
    <w:rsid w:val="000612A8"/>
    <w:rsid w:val="001A07AB"/>
    <w:rsid w:val="001D797C"/>
    <w:rsid w:val="002C5A53"/>
    <w:rsid w:val="005E75D5"/>
    <w:rsid w:val="00627B24"/>
    <w:rsid w:val="006E4FF6"/>
    <w:rsid w:val="008271C4"/>
    <w:rsid w:val="00991FD9"/>
    <w:rsid w:val="00A45C78"/>
    <w:rsid w:val="00B14E46"/>
    <w:rsid w:val="00B24D4C"/>
    <w:rsid w:val="00BA3C27"/>
    <w:rsid w:val="00C22E3F"/>
    <w:rsid w:val="00D155A8"/>
    <w:rsid w:val="00EA39B6"/>
    <w:rsid w:val="00F25113"/>
    <w:rsid w:val="00F42FAA"/>
    <w:rsid w:val="00FE49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9F7FBC-6A91-486B-BB0F-2AF367755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12A8"/>
    <w:pPr>
      <w:numPr>
        <w:numId w:val="1"/>
      </w:numPr>
      <w:ind w:left="360" w:hanging="360"/>
      <w:contextualSpacing/>
    </w:pPr>
    <w:rPr>
      <w:b/>
    </w:rPr>
  </w:style>
  <w:style w:type="paragraph" w:styleId="Bibliography">
    <w:name w:val="Bibliography"/>
    <w:basedOn w:val="Normal"/>
    <w:next w:val="Normal"/>
    <w:uiPriority w:val="37"/>
    <w:unhideWhenUsed/>
    <w:rsid w:val="00A45C78"/>
    <w:pPr>
      <w:tabs>
        <w:tab w:val="left" w:pos="504"/>
      </w:tabs>
      <w:spacing w:after="240"/>
      <w:ind w:left="504" w:hanging="50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5</Pages>
  <Words>4785</Words>
  <Characters>27278</Characters>
  <Application>Microsoft Office Word</Application>
  <DocSecurity>0</DocSecurity>
  <Lines>227</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Strekalova,Yulia A</dc:creator>
  <cp:keywords/>
  <dc:description/>
  <cp:lastModifiedBy>Strekalova,Yulia A</cp:lastModifiedBy>
  <cp:revision>3</cp:revision>
  <dcterms:created xsi:type="dcterms:W3CDTF">2018-03-08T18:02:00Z</dcterms:created>
  <dcterms:modified xsi:type="dcterms:W3CDTF">2018-03-08T19:59:00Z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zotero-version="4.0.29.17"&gt;&lt;session id="B9pdQwqb"/&gt;&lt;style id="http://www.zotero.org/styles/american-medical-association" hasBibliography="1" bibliographyStyleHasBeenSet="1"/&gt;&lt;prefs&gt;&lt;pref name="fieldType" value="Field"/&gt;&lt;pref name="s</vt:lpwstr>
  </property>
  <property fmtid="{D5CDD505-2E9C-101B-9397-08002B2CF9AE}" pid="3" name="ZOTERO_PREF_2">
    <vt:lpwstr>toreReferences" value="true"/&gt;&lt;pref name="automaticJournalAbbreviations" value="true"/&gt;&lt;pref name="noteType" value=""/&gt;&lt;/prefs&gt;&lt;/data&gt;</vt:lpwstr>
  </property>
</Properties>
</file>