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1A0" w:rsidRDefault="00CA364D" w:rsidP="001D61A0">
      <w:r>
        <w:t xml:space="preserve">  In all disciplines, research reproducibility can only be achieved if open research practices are not an afterthought (CHEN et al). </w:t>
      </w:r>
    </w:p>
    <w:p w:rsidR="00777646" w:rsidRDefault="00CA364D" w:rsidP="001D61A0">
      <w:r>
        <w:t>Achievement of research reproducibility</w:t>
      </w:r>
      <w:r w:rsidR="00777646">
        <w:t xml:space="preserve"> </w:t>
      </w:r>
      <w:r>
        <w:t xml:space="preserve">requires </w:t>
      </w:r>
      <w:r w:rsidR="00777646">
        <w:t xml:space="preserve">investigators to shift </w:t>
      </w:r>
      <w:r w:rsidR="005F3F70">
        <w:t xml:space="preserve">focus from an afterthought </w:t>
      </w:r>
      <w:r w:rsidR="00777646">
        <w:t>to</w:t>
      </w:r>
      <w:r w:rsidR="005F3F70">
        <w:t xml:space="preserve"> adoption of research practices and tools that automate the </w:t>
      </w:r>
    </w:p>
    <w:p w:rsidR="00883063" w:rsidRDefault="00883063" w:rsidP="001D61A0">
      <w:r>
        <w:t>Underlying</w:t>
      </w:r>
      <w:r w:rsidR="000D3AC5">
        <w:t xml:space="preserve"> the</w:t>
      </w:r>
      <w:r>
        <w:t xml:space="preserve"> </w:t>
      </w:r>
      <w:r w:rsidR="00995C63">
        <w:t>ongoing debate</w:t>
      </w:r>
      <w:r>
        <w:t xml:space="preserve"> about a lack of reproducibility in biomedical and social science research is the necessity for in</w:t>
      </w:r>
      <w:r w:rsidR="00995C63">
        <w:t>vestigators to shift their focus.  Research reproducibility is largely unachievable</w:t>
      </w:r>
      <w:r w:rsidR="000D3AC5">
        <w:t xml:space="preserve"> when </w:t>
      </w:r>
      <w:r w:rsidR="00995C63">
        <w:t xml:space="preserve">it is merely viewed as an afterthought. </w:t>
      </w:r>
      <w:r w:rsidR="000D3AC5">
        <w:t xml:space="preserve"> Altering the research lifecycle to include tools to automate reproducibility will improve its attainability. </w:t>
      </w:r>
    </w:p>
    <w:p w:rsidR="006C20D3" w:rsidRDefault="006C20D3">
      <w:r>
        <w:br w:type="page"/>
      </w:r>
    </w:p>
    <w:p w:rsidR="0032371A" w:rsidRDefault="0046517F" w:rsidP="006C20D3">
      <w:pPr>
        <w:spacing w:before="100" w:beforeAutospacing="1" w:after="240" w:line="240" w:lineRule="auto"/>
        <w:rPr>
          <w:rFonts w:ascii="Times New Roman" w:eastAsia="Times New Roman" w:hAnsi="Times New Roman" w:cs="Times New Roman"/>
          <w:iCs/>
          <w:sz w:val="24"/>
          <w:szCs w:val="24"/>
        </w:rPr>
      </w:pPr>
      <w:r w:rsidRPr="002F53D9">
        <w:rPr>
          <w:rFonts w:ascii="Times New Roman" w:eastAsia="Times New Roman" w:hAnsi="Times New Roman" w:cs="Times New Roman"/>
          <w:b/>
          <w:iCs/>
          <w:sz w:val="24"/>
          <w:szCs w:val="24"/>
        </w:rPr>
        <w:lastRenderedPageBreak/>
        <w:t xml:space="preserve">Abstract </w:t>
      </w:r>
      <w:r w:rsidR="008D383E" w:rsidRPr="002F53D9">
        <w:rPr>
          <w:rFonts w:ascii="Times New Roman" w:eastAsia="Times New Roman" w:hAnsi="Times New Roman" w:cs="Times New Roman"/>
          <w:iCs/>
          <w:sz w:val="24"/>
          <w:szCs w:val="24"/>
        </w:rPr>
        <w:t xml:space="preserve">Recent years has witnessed an increasing interest in open-science tools such as Linux, GitHub, Python, SQLite, and R.  Organizations which offer </w:t>
      </w:r>
      <w:r w:rsidR="00106811" w:rsidRPr="002F53D9">
        <w:rPr>
          <w:rFonts w:ascii="Times New Roman" w:eastAsia="Times New Roman" w:hAnsi="Times New Roman" w:cs="Times New Roman"/>
          <w:iCs/>
          <w:sz w:val="24"/>
          <w:szCs w:val="24"/>
        </w:rPr>
        <w:t>short-format workshops and seminars – the Carpentries being a prominent player in this space – frequently teach the tools in isolation.  A typical Carpentries workshop, for example, covers Git, SQL, Linux, and a progr</w:t>
      </w:r>
      <w:r w:rsidR="00FC1F24" w:rsidRPr="002F53D9">
        <w:rPr>
          <w:rFonts w:ascii="Times New Roman" w:eastAsia="Times New Roman" w:hAnsi="Times New Roman" w:cs="Times New Roman"/>
          <w:iCs/>
          <w:sz w:val="24"/>
          <w:szCs w:val="24"/>
        </w:rPr>
        <w:t>amming language in four self-contained</w:t>
      </w:r>
      <w:r w:rsidR="00106811" w:rsidRPr="002F53D9">
        <w:rPr>
          <w:rFonts w:ascii="Times New Roman" w:eastAsia="Times New Roman" w:hAnsi="Times New Roman" w:cs="Times New Roman"/>
          <w:iCs/>
          <w:sz w:val="24"/>
          <w:szCs w:val="24"/>
        </w:rPr>
        <w:t xml:space="preserve"> sessions over a two-day period.</w:t>
      </w:r>
      <w:r w:rsidR="00FC1F24" w:rsidRPr="002F53D9">
        <w:rPr>
          <w:rFonts w:ascii="Times New Roman" w:eastAsia="Times New Roman" w:hAnsi="Times New Roman" w:cs="Times New Roman"/>
          <w:iCs/>
          <w:sz w:val="24"/>
          <w:szCs w:val="24"/>
        </w:rPr>
        <w:t xml:space="preserve">  However, what is conspicuously missing is instruction on how to integrate these technologies into a research system</w:t>
      </w:r>
      <w:r w:rsidR="00AF68A0" w:rsidRPr="002F53D9">
        <w:rPr>
          <w:rFonts w:ascii="Times New Roman" w:eastAsia="Times New Roman" w:hAnsi="Times New Roman" w:cs="Times New Roman"/>
          <w:iCs/>
          <w:sz w:val="24"/>
          <w:szCs w:val="24"/>
        </w:rPr>
        <w:t xml:space="preserve"> which</w:t>
      </w:r>
      <w:r w:rsidR="00FB1526" w:rsidRPr="002F53D9">
        <w:rPr>
          <w:rFonts w:ascii="Times New Roman" w:eastAsia="Times New Roman" w:hAnsi="Times New Roman" w:cs="Times New Roman"/>
          <w:iCs/>
          <w:sz w:val="24"/>
          <w:szCs w:val="24"/>
        </w:rPr>
        <w:t xml:space="preserve"> </w:t>
      </w:r>
      <w:r w:rsidR="00FC1F24" w:rsidRPr="002F53D9">
        <w:rPr>
          <w:rFonts w:ascii="Times New Roman" w:eastAsia="Times New Roman" w:hAnsi="Times New Roman" w:cs="Times New Roman"/>
          <w:iCs/>
          <w:sz w:val="24"/>
          <w:szCs w:val="24"/>
        </w:rPr>
        <w:t>is greater than the sum of its parts.</w:t>
      </w:r>
      <w:r w:rsidR="00AF68A0" w:rsidRPr="002F53D9">
        <w:rPr>
          <w:rFonts w:ascii="Times New Roman" w:eastAsia="Times New Roman" w:hAnsi="Times New Roman" w:cs="Times New Roman"/>
          <w:iCs/>
          <w:sz w:val="24"/>
          <w:szCs w:val="24"/>
        </w:rPr>
        <w:t xml:space="preserve">  In other words, scientists rarely use tools in isolation from other tools.  Thus the ability to envision and then </w:t>
      </w:r>
      <w:r w:rsidR="00AA6C21" w:rsidRPr="002F53D9">
        <w:rPr>
          <w:rFonts w:ascii="Times New Roman" w:eastAsia="Times New Roman" w:hAnsi="Times New Roman" w:cs="Times New Roman"/>
          <w:iCs/>
          <w:sz w:val="24"/>
          <w:szCs w:val="24"/>
        </w:rPr>
        <w:t>build</w:t>
      </w:r>
      <w:r w:rsidR="00AF68A0" w:rsidRPr="002F53D9">
        <w:rPr>
          <w:rFonts w:ascii="Times New Roman" w:eastAsia="Times New Roman" w:hAnsi="Times New Roman" w:cs="Times New Roman"/>
          <w:iCs/>
          <w:sz w:val="24"/>
          <w:szCs w:val="24"/>
        </w:rPr>
        <w:t xml:space="preserve"> an integrated research system is just as important as </w:t>
      </w:r>
      <w:r w:rsidR="00AA6C21" w:rsidRPr="002F53D9">
        <w:rPr>
          <w:rFonts w:ascii="Times New Roman" w:eastAsia="Times New Roman" w:hAnsi="Times New Roman" w:cs="Times New Roman"/>
          <w:iCs/>
          <w:sz w:val="24"/>
          <w:szCs w:val="24"/>
        </w:rPr>
        <w:t>mastering the technical details of individual technologies.</w:t>
      </w:r>
      <w:r w:rsidR="002204C0" w:rsidRPr="002F53D9">
        <w:rPr>
          <w:rFonts w:ascii="Times New Roman" w:eastAsia="Times New Roman" w:hAnsi="Times New Roman" w:cs="Times New Roman"/>
          <w:iCs/>
          <w:sz w:val="24"/>
          <w:szCs w:val="24"/>
        </w:rPr>
        <w:t xml:space="preserve">  Because little has been written about </w:t>
      </w:r>
      <w:r w:rsidR="00BD024F" w:rsidRPr="002F53D9">
        <w:rPr>
          <w:rFonts w:ascii="Times New Roman" w:eastAsia="Times New Roman" w:hAnsi="Times New Roman" w:cs="Times New Roman"/>
          <w:iCs/>
          <w:sz w:val="24"/>
          <w:szCs w:val="24"/>
        </w:rPr>
        <w:t>the design of integrated research systems, this article represents an initial effort to rectify this deficiency.  I</w:t>
      </w:r>
      <w:r w:rsidR="00E3555E" w:rsidRPr="002F53D9">
        <w:rPr>
          <w:rFonts w:ascii="Times New Roman" w:eastAsia="Times New Roman" w:hAnsi="Times New Roman" w:cs="Times New Roman"/>
          <w:iCs/>
          <w:sz w:val="24"/>
          <w:szCs w:val="24"/>
        </w:rPr>
        <w:t xml:space="preserve">t consists of </w:t>
      </w:r>
      <w:r w:rsidR="00B165D8" w:rsidRPr="002F53D9">
        <w:rPr>
          <w:rFonts w:ascii="Times New Roman" w:eastAsia="Times New Roman" w:hAnsi="Times New Roman" w:cs="Times New Roman"/>
          <w:iCs/>
          <w:sz w:val="24"/>
          <w:szCs w:val="24"/>
        </w:rPr>
        <w:t>four</w:t>
      </w:r>
      <w:r w:rsidR="00E3555E" w:rsidRPr="002F53D9">
        <w:rPr>
          <w:rFonts w:ascii="Times New Roman" w:eastAsia="Times New Roman" w:hAnsi="Times New Roman" w:cs="Times New Roman"/>
          <w:iCs/>
          <w:sz w:val="24"/>
          <w:szCs w:val="24"/>
        </w:rPr>
        <w:t xml:space="preserve"> parts.  An introduction to the topic and</w:t>
      </w:r>
      <w:r w:rsidR="00EA2F1A" w:rsidRPr="002F53D9">
        <w:rPr>
          <w:rFonts w:ascii="Times New Roman" w:eastAsia="Times New Roman" w:hAnsi="Times New Roman" w:cs="Times New Roman"/>
          <w:iCs/>
          <w:sz w:val="24"/>
          <w:szCs w:val="24"/>
        </w:rPr>
        <w:t xml:space="preserve"> </w:t>
      </w:r>
      <w:r w:rsidR="00E3555E" w:rsidRPr="002F53D9">
        <w:rPr>
          <w:rFonts w:ascii="Times New Roman" w:eastAsia="Times New Roman" w:hAnsi="Times New Roman" w:cs="Times New Roman"/>
          <w:iCs/>
          <w:sz w:val="24"/>
          <w:szCs w:val="24"/>
        </w:rPr>
        <w:t xml:space="preserve">review </w:t>
      </w:r>
      <w:r w:rsidR="0032371A" w:rsidRPr="002F53D9">
        <w:rPr>
          <w:rFonts w:ascii="Times New Roman" w:eastAsia="Times New Roman" w:hAnsi="Times New Roman" w:cs="Times New Roman"/>
          <w:iCs/>
          <w:sz w:val="24"/>
          <w:szCs w:val="24"/>
        </w:rPr>
        <w:t xml:space="preserve">of the literature </w:t>
      </w:r>
      <w:r w:rsidR="00E3555E" w:rsidRPr="002F53D9">
        <w:rPr>
          <w:rFonts w:ascii="Times New Roman" w:eastAsia="Times New Roman" w:hAnsi="Times New Roman" w:cs="Times New Roman"/>
          <w:iCs/>
          <w:sz w:val="24"/>
          <w:szCs w:val="24"/>
        </w:rPr>
        <w:t xml:space="preserve">is </w:t>
      </w:r>
      <w:r w:rsidR="0032371A" w:rsidRPr="002F53D9">
        <w:rPr>
          <w:rFonts w:ascii="Times New Roman" w:eastAsia="Times New Roman" w:hAnsi="Times New Roman" w:cs="Times New Roman"/>
          <w:iCs/>
          <w:sz w:val="24"/>
          <w:szCs w:val="24"/>
        </w:rPr>
        <w:t>developed</w:t>
      </w:r>
      <w:r w:rsidR="00E3555E" w:rsidRPr="002F53D9">
        <w:rPr>
          <w:rFonts w:ascii="Times New Roman" w:eastAsia="Times New Roman" w:hAnsi="Times New Roman" w:cs="Times New Roman"/>
          <w:iCs/>
          <w:sz w:val="24"/>
          <w:szCs w:val="24"/>
        </w:rPr>
        <w:t xml:space="preserve"> in</w:t>
      </w:r>
      <w:r w:rsidR="00EA2F1A" w:rsidRPr="002F53D9">
        <w:rPr>
          <w:rFonts w:ascii="Times New Roman" w:eastAsia="Times New Roman" w:hAnsi="Times New Roman" w:cs="Times New Roman"/>
          <w:iCs/>
          <w:sz w:val="24"/>
          <w:szCs w:val="24"/>
        </w:rPr>
        <w:t xml:space="preserve"> part one, followed by the presentation of an integrated research system model in part two.  An in-depth discussion of the </w:t>
      </w:r>
      <w:r w:rsidR="0032371A" w:rsidRPr="002F53D9">
        <w:rPr>
          <w:rFonts w:ascii="Times New Roman" w:eastAsia="Times New Roman" w:hAnsi="Times New Roman" w:cs="Times New Roman"/>
          <w:iCs/>
          <w:sz w:val="24"/>
          <w:szCs w:val="24"/>
        </w:rPr>
        <w:t>interfaces between the system components is articulated in part three.</w:t>
      </w:r>
      <w:r w:rsidR="00B165D8" w:rsidRPr="002F53D9">
        <w:rPr>
          <w:rFonts w:ascii="Times New Roman" w:eastAsia="Times New Roman" w:hAnsi="Times New Roman" w:cs="Times New Roman"/>
          <w:iCs/>
          <w:sz w:val="24"/>
          <w:szCs w:val="24"/>
        </w:rPr>
        <w:t xml:space="preserve">  And finally, the article concludes with some thoughts and b</w:t>
      </w:r>
      <w:r w:rsidR="002E1D50" w:rsidRPr="002F53D9">
        <w:rPr>
          <w:rFonts w:ascii="Times New Roman" w:eastAsia="Times New Roman" w:hAnsi="Times New Roman" w:cs="Times New Roman"/>
          <w:iCs/>
          <w:sz w:val="24"/>
          <w:szCs w:val="24"/>
        </w:rPr>
        <w:t>est-practice recommendations for research system design.</w:t>
      </w:r>
    </w:p>
    <w:p w:rsidR="00C445A6" w:rsidRDefault="00C445A6">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Introduction and Literature Review</w:t>
      </w:r>
    </w:p>
    <w:p w:rsidR="00D811F6" w:rsidRDefault="00E72009" w:rsidP="0004109C">
      <w:pPr>
        <w:spacing w:after="0" w:line="240" w:lineRule="auto"/>
        <w:ind w:firstLine="720"/>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By the early 1960’s, there was a growing awareness of systems thinking and the systems perspective.  The launch of the IBM 360 in 1964 probably contributed to this phenomenon, given</w:t>
      </w:r>
      <w:r w:rsidR="00CC4BE2">
        <w:rPr>
          <w:rFonts w:ascii="Times New Roman" w:eastAsia="Times New Roman" w:hAnsi="Times New Roman" w:cs="Times New Roman"/>
          <w:iCs/>
          <w:color w:val="215868" w:themeColor="accent5" w:themeShade="80"/>
          <w:sz w:val="24"/>
          <w:szCs w:val="24"/>
        </w:rPr>
        <w:t xml:space="preserve"> the fact that it was a fully </w:t>
      </w:r>
      <w:r w:rsidR="005F6355">
        <w:rPr>
          <w:rFonts w:ascii="Times New Roman" w:eastAsia="Times New Roman" w:hAnsi="Times New Roman" w:cs="Times New Roman"/>
          <w:iCs/>
          <w:color w:val="215868" w:themeColor="accent5" w:themeShade="80"/>
          <w:sz w:val="24"/>
          <w:szCs w:val="24"/>
        </w:rPr>
        <w:t xml:space="preserve">integrated system with broad </w:t>
      </w:r>
      <w:r w:rsidR="003A4E98">
        <w:rPr>
          <w:rFonts w:ascii="Times New Roman" w:eastAsia="Times New Roman" w:hAnsi="Times New Roman" w:cs="Times New Roman"/>
          <w:iCs/>
          <w:color w:val="215868" w:themeColor="accent5" w:themeShade="80"/>
          <w:sz w:val="24"/>
          <w:szCs w:val="24"/>
        </w:rPr>
        <w:t>commercial appeal.</w:t>
      </w:r>
      <w:r w:rsidR="00CC4BE2">
        <w:rPr>
          <w:rFonts w:ascii="Times New Roman" w:eastAsia="Times New Roman" w:hAnsi="Times New Roman" w:cs="Times New Roman"/>
          <w:iCs/>
          <w:color w:val="215868" w:themeColor="accent5" w:themeShade="80"/>
          <w:sz w:val="24"/>
          <w:szCs w:val="24"/>
        </w:rPr>
        <w:t xml:space="preserve">  It is therefore not surprising that one of the first attempts to view the research process </w:t>
      </w:r>
      <w:r w:rsidR="000A396D">
        <w:rPr>
          <w:rFonts w:ascii="Times New Roman" w:eastAsia="Times New Roman" w:hAnsi="Times New Roman" w:cs="Times New Roman"/>
          <w:iCs/>
          <w:color w:val="215868" w:themeColor="accent5" w:themeShade="80"/>
          <w:sz w:val="24"/>
          <w:szCs w:val="24"/>
        </w:rPr>
        <w:t xml:space="preserve">as an integrated system of interrelated parts occurred that same year.  </w:t>
      </w:r>
      <w:r w:rsidR="00CC4BE2">
        <w:rPr>
          <w:rFonts w:ascii="Times New Roman" w:eastAsia="Times New Roman" w:hAnsi="Times New Roman" w:cs="Times New Roman"/>
          <w:iCs/>
          <w:color w:val="215868" w:themeColor="accent5" w:themeShade="80"/>
          <w:sz w:val="24"/>
          <w:szCs w:val="24"/>
        </w:rPr>
        <w:t xml:space="preserve">Garvey and Griffith’s (1964) </w:t>
      </w:r>
      <w:r w:rsidR="000C748E">
        <w:rPr>
          <w:rFonts w:ascii="Times New Roman" w:eastAsia="Times New Roman" w:hAnsi="Times New Roman" w:cs="Times New Roman"/>
          <w:iCs/>
          <w:color w:val="215868" w:themeColor="accent5" w:themeShade="80"/>
          <w:sz w:val="24"/>
          <w:szCs w:val="24"/>
        </w:rPr>
        <w:t>article</w:t>
      </w:r>
      <w:r w:rsidR="00157D06">
        <w:rPr>
          <w:rFonts w:ascii="Times New Roman" w:eastAsia="Times New Roman" w:hAnsi="Times New Roman" w:cs="Times New Roman"/>
          <w:iCs/>
          <w:color w:val="215868" w:themeColor="accent5" w:themeShade="80"/>
          <w:sz w:val="24"/>
          <w:szCs w:val="24"/>
        </w:rPr>
        <w:t xml:space="preserve"> was </w:t>
      </w:r>
      <w:r w:rsidR="000C748E">
        <w:rPr>
          <w:rFonts w:ascii="Times New Roman" w:eastAsia="Times New Roman" w:hAnsi="Times New Roman" w:cs="Times New Roman"/>
          <w:iCs/>
          <w:color w:val="215868" w:themeColor="accent5" w:themeShade="80"/>
          <w:sz w:val="24"/>
          <w:szCs w:val="24"/>
        </w:rPr>
        <w:t>appropriately</w:t>
      </w:r>
      <w:r w:rsidR="00157D06">
        <w:rPr>
          <w:rFonts w:ascii="Times New Roman" w:eastAsia="Times New Roman" w:hAnsi="Times New Roman" w:cs="Times New Roman"/>
          <w:iCs/>
          <w:color w:val="215868" w:themeColor="accent5" w:themeShade="80"/>
          <w:sz w:val="24"/>
          <w:szCs w:val="24"/>
        </w:rPr>
        <w:t xml:space="preserve"> titled, </w:t>
      </w:r>
      <w:r w:rsidR="00157D06" w:rsidRPr="00157D06">
        <w:rPr>
          <w:rFonts w:ascii="Times New Roman" w:eastAsia="Times New Roman" w:hAnsi="Times New Roman" w:cs="Times New Roman"/>
          <w:i/>
          <w:iCs/>
          <w:color w:val="215868" w:themeColor="accent5" w:themeShade="80"/>
          <w:sz w:val="24"/>
          <w:szCs w:val="24"/>
        </w:rPr>
        <w:t>The Structure, Objectives, and Findings of a Study of Scientific Information Exchange in Psychology</w:t>
      </w:r>
      <w:r w:rsidR="00157D06">
        <w:rPr>
          <w:rFonts w:ascii="Times New Roman" w:eastAsia="Times New Roman" w:hAnsi="Times New Roman" w:cs="Times New Roman"/>
          <w:iCs/>
          <w:color w:val="215868" w:themeColor="accent5" w:themeShade="80"/>
          <w:sz w:val="24"/>
          <w:szCs w:val="24"/>
        </w:rPr>
        <w:t>.</w:t>
      </w:r>
      <w:r w:rsidR="000C748E">
        <w:rPr>
          <w:rFonts w:ascii="Times New Roman" w:eastAsia="Times New Roman" w:hAnsi="Times New Roman" w:cs="Times New Roman"/>
          <w:iCs/>
          <w:color w:val="215868" w:themeColor="accent5" w:themeShade="80"/>
          <w:sz w:val="24"/>
          <w:szCs w:val="24"/>
        </w:rPr>
        <w:t xml:space="preserve">  Not only did the authors</w:t>
      </w:r>
      <w:r w:rsidR="005912C5">
        <w:rPr>
          <w:rFonts w:ascii="Times New Roman" w:eastAsia="Times New Roman" w:hAnsi="Times New Roman" w:cs="Times New Roman"/>
          <w:iCs/>
          <w:color w:val="215868" w:themeColor="accent5" w:themeShade="80"/>
          <w:sz w:val="24"/>
          <w:szCs w:val="24"/>
        </w:rPr>
        <w:t xml:space="preserve"> identify key processes but they identified </w:t>
      </w:r>
      <w:r w:rsidR="00422452">
        <w:rPr>
          <w:rFonts w:ascii="Times New Roman" w:eastAsia="Times New Roman" w:hAnsi="Times New Roman" w:cs="Times New Roman"/>
          <w:iCs/>
          <w:color w:val="215868" w:themeColor="accent5" w:themeShade="80"/>
          <w:sz w:val="24"/>
          <w:szCs w:val="24"/>
        </w:rPr>
        <w:t xml:space="preserve">the relationships between the components through the </w:t>
      </w:r>
      <w:r w:rsidR="0099326E">
        <w:rPr>
          <w:rFonts w:ascii="Times New Roman" w:eastAsia="Times New Roman" w:hAnsi="Times New Roman" w:cs="Times New Roman"/>
          <w:iCs/>
          <w:color w:val="215868" w:themeColor="accent5" w:themeShade="80"/>
          <w:sz w:val="24"/>
          <w:szCs w:val="24"/>
        </w:rPr>
        <w:t xml:space="preserve">judicious </w:t>
      </w:r>
      <w:r w:rsidR="00422452">
        <w:rPr>
          <w:rFonts w:ascii="Times New Roman" w:eastAsia="Times New Roman" w:hAnsi="Times New Roman" w:cs="Times New Roman"/>
          <w:iCs/>
          <w:color w:val="215868" w:themeColor="accent5" w:themeShade="80"/>
          <w:sz w:val="24"/>
          <w:szCs w:val="24"/>
        </w:rPr>
        <w:t>use of lines.  By today’s standards, the</w:t>
      </w:r>
      <w:r w:rsidR="00011B4B">
        <w:rPr>
          <w:rFonts w:ascii="Times New Roman" w:eastAsia="Times New Roman" w:hAnsi="Times New Roman" w:cs="Times New Roman"/>
          <w:iCs/>
          <w:color w:val="215868" w:themeColor="accent5" w:themeShade="80"/>
          <w:sz w:val="24"/>
          <w:szCs w:val="24"/>
        </w:rPr>
        <w:t xml:space="preserve">ir research system diagram appears primitive.  Nevertheless, Garvey &amp; Griffith deserve to be recognized for the innovative nature of </w:t>
      </w:r>
      <w:r w:rsidR="00D101AD">
        <w:rPr>
          <w:rFonts w:ascii="Times New Roman" w:eastAsia="Times New Roman" w:hAnsi="Times New Roman" w:cs="Times New Roman"/>
          <w:iCs/>
          <w:color w:val="215868" w:themeColor="accent5" w:themeShade="80"/>
          <w:sz w:val="24"/>
          <w:szCs w:val="24"/>
        </w:rPr>
        <w:t>this work</w:t>
      </w:r>
      <w:r w:rsidR="00011B4B">
        <w:rPr>
          <w:rFonts w:ascii="Times New Roman" w:eastAsia="Times New Roman" w:hAnsi="Times New Roman" w:cs="Times New Roman"/>
          <w:iCs/>
          <w:color w:val="215868" w:themeColor="accent5" w:themeShade="80"/>
          <w:sz w:val="24"/>
          <w:szCs w:val="24"/>
        </w:rPr>
        <w:t xml:space="preserve">.  </w:t>
      </w:r>
      <w:r w:rsidR="00D101AD">
        <w:rPr>
          <w:rFonts w:ascii="Times New Roman" w:eastAsia="Times New Roman" w:hAnsi="Times New Roman" w:cs="Times New Roman"/>
          <w:iCs/>
          <w:color w:val="215868" w:themeColor="accent5" w:themeShade="80"/>
          <w:sz w:val="24"/>
          <w:szCs w:val="24"/>
        </w:rPr>
        <w:t>The y-axis of the</w:t>
      </w:r>
      <w:r w:rsidR="00011B4B">
        <w:rPr>
          <w:rFonts w:ascii="Times New Roman" w:eastAsia="Times New Roman" w:hAnsi="Times New Roman" w:cs="Times New Roman"/>
          <w:iCs/>
          <w:color w:val="215868" w:themeColor="accent5" w:themeShade="80"/>
          <w:sz w:val="24"/>
          <w:szCs w:val="24"/>
        </w:rPr>
        <w:t xml:space="preserve"> diagram, for example, </w:t>
      </w:r>
      <w:r w:rsidR="00D101AD">
        <w:rPr>
          <w:rFonts w:ascii="Times New Roman" w:eastAsia="Times New Roman" w:hAnsi="Times New Roman" w:cs="Times New Roman"/>
          <w:iCs/>
          <w:color w:val="215868" w:themeColor="accent5" w:themeShade="80"/>
          <w:sz w:val="24"/>
          <w:szCs w:val="24"/>
        </w:rPr>
        <w:t>displays months prior and subsequent to article publicati</w:t>
      </w:r>
      <w:r w:rsidR="00902744">
        <w:rPr>
          <w:rFonts w:ascii="Times New Roman" w:eastAsia="Times New Roman" w:hAnsi="Times New Roman" w:cs="Times New Roman"/>
          <w:iCs/>
          <w:color w:val="215868" w:themeColor="accent5" w:themeShade="80"/>
          <w:sz w:val="24"/>
          <w:szCs w:val="24"/>
        </w:rPr>
        <w:t xml:space="preserve">on, thereby giving the reader an idea of </w:t>
      </w:r>
      <w:r w:rsidR="001C08DB">
        <w:rPr>
          <w:rFonts w:ascii="Times New Roman" w:eastAsia="Times New Roman" w:hAnsi="Times New Roman" w:cs="Times New Roman"/>
          <w:iCs/>
          <w:color w:val="215868" w:themeColor="accent5" w:themeShade="80"/>
          <w:sz w:val="24"/>
          <w:szCs w:val="24"/>
        </w:rPr>
        <w:t>what</w:t>
      </w:r>
      <w:r w:rsidR="00902744">
        <w:rPr>
          <w:rFonts w:ascii="Times New Roman" w:eastAsia="Times New Roman" w:hAnsi="Times New Roman" w:cs="Times New Roman"/>
          <w:iCs/>
          <w:color w:val="215868" w:themeColor="accent5" w:themeShade="80"/>
          <w:sz w:val="24"/>
          <w:szCs w:val="24"/>
        </w:rPr>
        <w:t xml:space="preserve"> processes are </w:t>
      </w:r>
      <w:r w:rsidR="00D811F6">
        <w:rPr>
          <w:rFonts w:ascii="Times New Roman" w:eastAsia="Times New Roman" w:hAnsi="Times New Roman" w:cs="Times New Roman"/>
          <w:iCs/>
          <w:color w:val="215868" w:themeColor="accent5" w:themeShade="80"/>
          <w:sz w:val="24"/>
          <w:szCs w:val="24"/>
        </w:rPr>
        <w:t>active at a given point in</w:t>
      </w:r>
      <w:r w:rsidR="00902744">
        <w:rPr>
          <w:rFonts w:ascii="Times New Roman" w:eastAsia="Times New Roman" w:hAnsi="Times New Roman" w:cs="Times New Roman"/>
          <w:iCs/>
          <w:color w:val="215868" w:themeColor="accent5" w:themeShade="80"/>
          <w:sz w:val="24"/>
          <w:szCs w:val="24"/>
        </w:rPr>
        <w:t xml:space="preserve"> time.</w:t>
      </w:r>
    </w:p>
    <w:p w:rsidR="00EB551F" w:rsidRDefault="00EB551F" w:rsidP="0004109C">
      <w:pPr>
        <w:spacing w:after="0" w:line="240" w:lineRule="auto"/>
        <w:ind w:firstLine="720"/>
        <w:rPr>
          <w:rFonts w:ascii="Times New Roman" w:eastAsia="Times New Roman" w:hAnsi="Times New Roman" w:cs="Times New Roman"/>
          <w:iCs/>
          <w:color w:val="215868" w:themeColor="accent5" w:themeShade="80"/>
          <w:sz w:val="24"/>
          <w:szCs w:val="24"/>
        </w:rPr>
      </w:pPr>
    </w:p>
    <w:p w:rsidR="0004109C" w:rsidRDefault="00EB551F" w:rsidP="0004109C">
      <w:pPr>
        <w:spacing w:after="0" w:line="240" w:lineRule="auto"/>
        <w:ind w:firstLine="720"/>
        <w:rPr>
          <w:rFonts w:ascii="Times New Roman" w:eastAsia="Times New Roman" w:hAnsi="Times New Roman" w:cs="Times New Roman"/>
          <w:i/>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Berta</w:t>
      </w:r>
      <w:r w:rsidR="0004109C">
        <w:rPr>
          <w:rFonts w:ascii="Times New Roman" w:eastAsia="Times New Roman" w:hAnsi="Times New Roman" w:cs="Times New Roman"/>
          <w:iCs/>
          <w:color w:val="215868" w:themeColor="accent5" w:themeShade="80"/>
          <w:sz w:val="24"/>
          <w:szCs w:val="24"/>
        </w:rPr>
        <w:t>lanffy</w:t>
      </w:r>
      <w:r>
        <w:rPr>
          <w:rFonts w:ascii="Times New Roman" w:eastAsia="Times New Roman" w:hAnsi="Times New Roman" w:cs="Times New Roman"/>
          <w:iCs/>
          <w:color w:val="215868" w:themeColor="accent5" w:themeShade="80"/>
          <w:sz w:val="24"/>
          <w:szCs w:val="24"/>
        </w:rPr>
        <w:t xml:space="preserve"> – </w:t>
      </w:r>
      <w:r w:rsidRPr="00EB551F">
        <w:rPr>
          <w:rFonts w:ascii="Times New Roman" w:eastAsia="Times New Roman" w:hAnsi="Times New Roman" w:cs="Times New Roman"/>
          <w:i/>
          <w:iCs/>
          <w:color w:val="215868" w:themeColor="accent5" w:themeShade="80"/>
          <w:sz w:val="24"/>
          <w:szCs w:val="24"/>
        </w:rPr>
        <w:t>General System Theory</w:t>
      </w:r>
    </w:p>
    <w:p w:rsidR="002E2D14" w:rsidRDefault="002E2D14" w:rsidP="002E2D14">
      <w:pPr>
        <w:spacing w:before="100" w:beforeAutospacing="1" w:after="240" w:line="240" w:lineRule="auto"/>
        <w:ind w:firstLine="720"/>
        <w:rPr>
          <w:rFonts w:ascii="Times New Roman" w:eastAsia="Times New Roman" w:hAnsi="Times New Roman" w:cs="Times New Roman"/>
          <w:iCs/>
          <w:color w:val="215868" w:themeColor="accent5" w:themeShade="80"/>
          <w:sz w:val="24"/>
          <w:szCs w:val="24"/>
        </w:rPr>
      </w:pPr>
      <w:bookmarkStart w:id="0" w:name="_GoBack"/>
      <w:bookmarkEnd w:id="0"/>
      <w:r w:rsidRPr="0030307A">
        <w:rPr>
          <w:rFonts w:ascii="Times New Roman" w:eastAsia="Times New Roman" w:hAnsi="Times New Roman" w:cs="Times New Roman"/>
          <w:iCs/>
          <w:color w:val="215868" w:themeColor="accent5" w:themeShade="80"/>
          <w:sz w:val="24"/>
          <w:szCs w:val="24"/>
        </w:rPr>
        <w:t xml:space="preserve">Ideally, the configuration of an integrated research system will reflect both the research question as well as the research method method(s) </w:t>
      </w:r>
      <w:r>
        <w:rPr>
          <w:rFonts w:ascii="Times New Roman" w:eastAsia="Times New Roman" w:hAnsi="Times New Roman" w:cs="Times New Roman"/>
          <w:iCs/>
          <w:color w:val="215868" w:themeColor="accent5" w:themeShade="80"/>
          <w:sz w:val="24"/>
          <w:szCs w:val="24"/>
        </w:rPr>
        <w:t>used</w:t>
      </w:r>
      <w:r w:rsidRPr="0030307A">
        <w:rPr>
          <w:rFonts w:ascii="Times New Roman" w:eastAsia="Times New Roman" w:hAnsi="Times New Roman" w:cs="Times New Roman"/>
          <w:iCs/>
          <w:color w:val="215868" w:themeColor="accent5" w:themeShade="80"/>
          <w:sz w:val="24"/>
          <w:szCs w:val="24"/>
        </w:rPr>
        <w:t xml:space="preserve"> to answer it.</w:t>
      </w:r>
      <w:r>
        <w:rPr>
          <w:rFonts w:ascii="Times New Roman" w:eastAsia="Times New Roman" w:hAnsi="Times New Roman" w:cs="Times New Roman"/>
          <w:iCs/>
          <w:color w:val="215868" w:themeColor="accent5" w:themeShade="80"/>
          <w:sz w:val="24"/>
          <w:szCs w:val="24"/>
        </w:rPr>
        <w:t xml:space="preserve"> </w:t>
      </w:r>
    </w:p>
    <w:p w:rsidR="00824B9F" w:rsidRDefault="0048622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A</w:t>
      </w:r>
      <w:r w:rsidR="00CA2A0B">
        <w:rPr>
          <w:rFonts w:ascii="Times New Roman" w:eastAsia="Times New Roman" w:hAnsi="Times New Roman" w:cs="Times New Roman"/>
          <w:b/>
          <w:iCs/>
          <w:sz w:val="24"/>
          <w:szCs w:val="24"/>
        </w:rPr>
        <w:t xml:space="preserve"> </w:t>
      </w:r>
      <w:r w:rsidR="00984289">
        <w:rPr>
          <w:rFonts w:ascii="Times New Roman" w:eastAsia="Times New Roman" w:hAnsi="Times New Roman" w:cs="Times New Roman"/>
          <w:b/>
          <w:iCs/>
          <w:sz w:val="24"/>
          <w:szCs w:val="24"/>
        </w:rPr>
        <w:t>Basic Research System</w:t>
      </w:r>
      <w:r>
        <w:rPr>
          <w:rFonts w:ascii="Times New Roman" w:eastAsia="Times New Roman" w:hAnsi="Times New Roman" w:cs="Times New Roman"/>
          <w:b/>
          <w:iCs/>
          <w:sz w:val="24"/>
          <w:szCs w:val="24"/>
        </w:rPr>
        <w:t xml:space="preserve"> Design</w:t>
      </w:r>
    </w:p>
    <w:p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The Research System Component Interfaces</w:t>
      </w:r>
    </w:p>
    <w:p w:rsidR="00824B9F" w:rsidRP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Conclusion and Best-Practice Recommendations</w:t>
      </w:r>
    </w:p>
    <w:p w:rsidR="00824B9F" w:rsidRDefault="00824B9F"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p>
    <w:p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rsidR="006C20D3" w:rsidRDefault="006C20D3" w:rsidP="006C20D3">
      <w:pPr>
        <w:spacing w:before="100" w:beforeAutospacing="1" w:after="240" w:line="240" w:lineRule="auto"/>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lastRenderedPageBreak/>
        <w:t>Article Titles</w:t>
      </w:r>
    </w:p>
    <w:p w:rsidR="006C20D3" w:rsidRDefault="006C20D3" w:rsidP="006C20D3">
      <w:pPr>
        <w:spacing w:before="100" w:beforeAutospacing="1" w:after="240" w:line="240" w:lineRule="auto"/>
        <w:jc w:val="center"/>
        <w:rPr>
          <w:rFonts w:ascii="Times New Roman" w:eastAsia="Times New Roman" w:hAnsi="Times New Roman" w:cs="Times New Roman"/>
          <w:i/>
          <w:iCs/>
          <w:color w:val="24292E"/>
          <w:sz w:val="24"/>
          <w:szCs w:val="24"/>
        </w:rPr>
      </w:pPr>
      <w:r>
        <w:rPr>
          <w:rFonts w:ascii="Times New Roman" w:eastAsia="Times New Roman" w:hAnsi="Times New Roman" w:cs="Times New Roman"/>
          <w:i/>
          <w:iCs/>
          <w:color w:val="24292E"/>
          <w:sz w:val="24"/>
          <w:szCs w:val="24"/>
        </w:rPr>
        <w:t>The reproducibility machine: Designing an integrated big data research system to support precision health researchers</w:t>
      </w:r>
    </w:p>
    <w:p w:rsidR="006C20D3" w:rsidRDefault="006C20D3" w:rsidP="006C20D3">
      <w:pPr>
        <w:spacing w:before="100" w:beforeAutospacing="1" w:after="240"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i/>
          <w:iCs/>
          <w:color w:val="24292E"/>
          <w:sz w:val="24"/>
          <w:szCs w:val="24"/>
        </w:rPr>
        <w:t>Anatomy of an environment wide association study: Making wise decisions at the strategic inflection points</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Contextualizing the Big Data Crisis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the late 1980's, the software industry faced a programming crisis.  From the earliest days of commercial programming in the early 1960's, code had been written in a linear fashion.  This approach, however, led to increasing complexity, with programs littered with the infamous goto statement.  The result was "spaghetti code" which jumped from point to point and was virtually impossible to maintain.  The response to this crisis in the 1990's was Object-Oriented Programming, or OOP as it is called.</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object-oriented response to the crisis in programming involved the first two elements listed below, coupled with a disciplined approach to implementation.</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Systems Thinking</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Architecture</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Discipline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Often, a "crisis" is fueled by sales organizations and individuals with financial interests in solving the latest problem.  Even so, real issues develop over time, laying the groundwork for a paradigm shift, a phrase made famous by Thomas Kuhn.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Mindset for Reproducibility Success</w:t>
      </w:r>
    </w:p>
    <w:p w:rsidR="006C20D3" w:rsidRDefault="006C20D3" w:rsidP="006C20D3">
      <w:pPr>
        <w:pStyle w:val="ListParagraph"/>
        <w:numPr>
          <w:ilvl w:val="0"/>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Test, test, test</w:t>
      </w:r>
    </w:p>
    <w:p w:rsidR="006C20D3" w:rsidRDefault="006C20D3" w:rsidP="006C20D3">
      <w:pPr>
        <w:pStyle w:val="ListParagraph"/>
        <w:numPr>
          <w:ilvl w:val="0"/>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Aesthetic sensibility</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Linus Torvalds (Style)</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15 Minute Rue</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Zen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Object-Oriented Programming</w:t>
      </w:r>
    </w:p>
    <w:p w:rsidR="006C20D3" w:rsidRDefault="006C20D3" w:rsidP="006C20D3">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Contract</w:t>
      </w:r>
    </w:p>
    <w:p w:rsidR="006C20D3" w:rsidRDefault="006C20D3" w:rsidP="006C20D3">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Black Box (code encapsulated within an interface)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Intuitive sense of what matters and what doesn't.  Complexity raises the probability of model overfitting.</w:t>
      </w:r>
    </w:p>
    <w:p w:rsidR="006C20D3" w:rsidRDefault="006C20D3" w:rsidP="006C20D3">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Quotes</w:t>
      </w:r>
    </w:p>
    <w:p w:rsidR="006C20D3" w:rsidRDefault="006C20D3" w:rsidP="006C20D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Freman Dyson (2006) commented, “The great advances in science usually result from new tools rather than from new doctrines” (p. 33).  I found this quote in Hunt (1997, p. 19).</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The 21</w:t>
      </w:r>
      <w:r>
        <w:rPr>
          <w:rFonts w:ascii="Times New Roman" w:eastAsia="Times New Roman" w:hAnsi="Times New Roman" w:cs="Times New Roman"/>
          <w:b/>
          <w:color w:val="24292E"/>
          <w:sz w:val="24"/>
          <w:szCs w:val="24"/>
          <w:vertAlign w:val="superscript"/>
        </w:rPr>
        <w:t>st</w:t>
      </w:r>
      <w:r>
        <w:rPr>
          <w:rFonts w:ascii="Times New Roman" w:eastAsia="Times New Roman" w:hAnsi="Times New Roman" w:cs="Times New Roman"/>
          <w:b/>
          <w:color w:val="24292E"/>
          <w:sz w:val="24"/>
          <w:szCs w:val="24"/>
        </w:rPr>
        <w:t xml:space="preserve"> Century Public Health Research System</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opportunity is for academic research libraries to design and develop integrated research systems for our clients. Most organizations in the scientific computing space offer training in specific tools such as GitHub, Python, or R -- the Carpentries being the most prominent player. However, few talk about integrating the pieces into a whole which is greater than the sum of its parts. In other words, primary investigators today must not only master the technical details of the tools they use but they must also act as system designers, ensuring that workflow processes are properly designed and maintained. It is rare that one uses a tool in isolation. Normally a variety of tools must be configured to work together. For example, RStudio supports the creation of projects but one also needs to track versions of project components in GitHub or a similar system.</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distinction ought to be made between a public health </w:t>
      </w:r>
      <w:r>
        <w:rPr>
          <w:rFonts w:ascii="Times New Roman" w:eastAsia="Times New Roman" w:hAnsi="Times New Roman" w:cs="Times New Roman"/>
          <w:b/>
          <w:bCs/>
          <w:color w:val="24292E"/>
          <w:sz w:val="24"/>
          <w:szCs w:val="24"/>
        </w:rPr>
        <w:t>research</w:t>
      </w:r>
      <w:r>
        <w:rPr>
          <w:rFonts w:ascii="Times New Roman" w:eastAsia="Times New Roman" w:hAnsi="Times New Roman" w:cs="Times New Roman"/>
          <w:color w:val="24292E"/>
          <w:sz w:val="24"/>
          <w:szCs w:val="24"/>
        </w:rPr>
        <w:t> systems and its counterparts -- the public health information systems which underpin the epidemiological decisions made by public health professionals. The two types of public health systems share some commonalities, but there are key differences as well. For example, the primary users (researchers vs. practicing professionals) differ somewhat in their information and data needs. For the public health professional, actionable information and data is of primary importance. While for the public health researcher, a deeper level of insight and understanding is sought. Where the focus for the practicing professional is tactical, the focus for the researcher is strategic.</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tactical focus - in the case of public health information systems - also entails a robust surveillance capability. This is not usually the case with public health research systems. This, then, is another important distinction between the two kinds of systems. Naturally, surveillance data that is both accurate and granular is critical when seeking to curb an outbreak or epidemic. Such data, however, has the potential of clogging up a research system as much of it is routine, nothing more than the white noise of normality.</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Ideally, the research methodology ought to inform - specify even - the way in which data is modelled in a big data system. Public health researchers often wish to explore relationships between different levels. For example, a researcher might wish to understand how state policies impact the delivery of neonatal care in a metropolitan statistical area (MSA). In this case, the MSA is at a lower-level of analysis and most likely contained within a single state at the higher-level. The image of Russian dolls immediately comes to mind, with smaller dolls inside larger ones. The challenge, then, of public health data is creating structures which allow researchers to easily move up and down a data hierarchy, exploring effects at each level as well as interactional effects between levels.</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Big Data</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Public health professionals, as Ola &amp; Sedig (2014) point out, are "overwhelmed with massive amounts of data on a regular basis" and data set overload has "forced many epidemiologists to become data managers" (p. 11 &amp; 12). The PH informatics community has yet to address this issue in an appropriate way, especially in the data visualization space.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Public health data is characterized by high volume, great variety, high velocity, and low veracity (Ola &amp; Sedig, 2014, p. 3). The same can be said of big data more generally, with the addition of velocity. These four attributes (volume, variety, veracity, and velocity) are also referred to as the four V's of big data.</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recommendation # 5 of their article, </w:t>
      </w:r>
      <w:r>
        <w:rPr>
          <w:rFonts w:ascii="Times New Roman" w:eastAsia="Times New Roman" w:hAnsi="Times New Roman" w:cs="Times New Roman"/>
          <w:i/>
          <w:iCs/>
          <w:color w:val="24292E"/>
          <w:sz w:val="24"/>
          <w:szCs w:val="24"/>
        </w:rPr>
        <w:t>Transforming Epidemiology for 21st Century Medicine and Public Health</w:t>
      </w:r>
      <w:r>
        <w:rPr>
          <w:rFonts w:ascii="Times New Roman" w:eastAsia="Times New Roman" w:hAnsi="Times New Roman" w:cs="Times New Roman"/>
          <w:color w:val="24292E"/>
          <w:sz w:val="24"/>
          <w:szCs w:val="24"/>
        </w:rPr>
        <w:t>, Khoury et al (2013) write, "The development of systematic approaches to robustly manage, integrate, analyze, and interpret large complex data sets is </w:t>
      </w:r>
      <w:r>
        <w:rPr>
          <w:rFonts w:ascii="Times New Roman" w:eastAsia="Times New Roman" w:hAnsi="Times New Roman" w:cs="Times New Roman"/>
          <w:b/>
          <w:bCs/>
          <w:color w:val="24292E"/>
          <w:sz w:val="24"/>
          <w:szCs w:val="24"/>
        </w:rPr>
        <w:t>crucial</w:t>
      </w:r>
      <w:r>
        <w:rPr>
          <w:rFonts w:ascii="Times New Roman" w:eastAsia="Times New Roman" w:hAnsi="Times New Roman" w:cs="Times New Roman"/>
          <w:color w:val="24292E"/>
          <w:sz w:val="24"/>
          <w:szCs w:val="24"/>
        </w:rPr>
        <w:t> (p. 14). Furthermore, the authors recognize that this challenge requires not only expertise but political acumen as well.</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Technology makes it easier to search out and discover associations in big data environments. Yet this capability also enhances the probability of "discovering" spurious correlations. The same holds true for precision medicine. Khoury, Iademarco, and Riley (2016) write, "As with precision medicine, separating signal from noise will not be easy" (p. 401). In other words, big data is not a panacea because "big error can plague big data" (Khoury &amp; Ioannidis, 2014, p. 1054). The problem lies in determining which signals are real and which are simply false positives. As of now, there is no method for quickly and cost-effectively separating the two, for deciding which leads ought to be followed and which ought to be abandoned. Public health researchers frequently report correlations but then fail to validate their findings. Admittedly, validation can - and often is - an expensive proposition. But without it, the underlying research foundation for public health lacks credibility.</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Integrated Knowledge Management</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et al (2013) favor a knowledge integration approach to "drive research, policy and practice" (p. 14). According to the authors, "knowledge management is a continuous process of identifying, selecting, storing, curating, and tracking relevant information across disciplines" (p. 15). This therefore entails the selection and curation of articles, systematic reviews, and meta-analysis.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fragmentation of public health datasets creates data silos which make it practically impossible to achieve a complete picture of either the individual or the population (Dickerson &amp; Yao, 2014, p. 90).  Often, data silos are the natural byproduct of discipline-focused research, with each discipline using vocabulary specific to it.</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“For data acquired from disparate sources, harmonization of definitions can be a challenge” (Khoury et al, p. 14).</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addition to curating datasets, a holistic big data research system ought to include information artifacts as well. These include full-text copies of research articles and collateral (grey) literature of specific interest to the lines of inquiry being pursued within a given university program. Indeed, pure research needs to be contextualized, especially in clinically-focused fields which rely so heavily on </w:t>
      </w:r>
      <w:r>
        <w:rPr>
          <w:rFonts w:ascii="Times New Roman" w:eastAsia="Times New Roman" w:hAnsi="Times New Roman" w:cs="Times New Roman"/>
          <w:i/>
          <w:iCs/>
          <w:color w:val="24292E"/>
          <w:sz w:val="24"/>
          <w:szCs w:val="24"/>
        </w:rPr>
        <w:t>actionable</w:t>
      </w:r>
      <w:r>
        <w:rPr>
          <w:rFonts w:ascii="Times New Roman" w:eastAsia="Times New Roman" w:hAnsi="Times New Roman" w:cs="Times New Roman"/>
          <w:color w:val="24292E"/>
          <w:sz w:val="24"/>
          <w:szCs w:val="24"/>
        </w:rPr>
        <w:t xml:space="preserve"> information. Busy clinicians - whether physicians, nurses, or epidemiologists - need actionable insights, based on valid research findings, to share with patients and clients. Ideally, this information would be context-specific. A nurse practitioner in </w:t>
      </w:r>
      <w:r>
        <w:rPr>
          <w:rFonts w:ascii="Times New Roman" w:eastAsia="Times New Roman" w:hAnsi="Times New Roman" w:cs="Times New Roman"/>
          <w:color w:val="24292E"/>
          <w:sz w:val="24"/>
          <w:szCs w:val="24"/>
        </w:rPr>
        <w:lastRenderedPageBreak/>
        <w:t>rural Appalachia, for example, will view the opioid crisis from a lens that differs significantly from a public health professional in an urban setting like Los Angeles.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b/>
          <w:bCs/>
          <w:color w:val="24292E"/>
          <w:sz w:val="24"/>
          <w:szCs w:val="24"/>
        </w:rPr>
        <w:t>Precision Public Health Defined</w:t>
      </w:r>
    </w:p>
    <w:p w:rsidR="006C20D3" w:rsidRDefault="006C20D3" w:rsidP="006C20D3">
      <w:pPr>
        <w:spacing w:after="240" w:line="240" w:lineRule="auto"/>
        <w:rPr>
          <w:rFonts w:ascii="Times New Roman" w:eastAsia="Times New Roman" w:hAnsi="Times New Roman" w:cs="Times New Roman"/>
          <w:color w:val="215868" w:themeColor="accent5" w:themeShade="80"/>
          <w:sz w:val="24"/>
          <w:szCs w:val="24"/>
        </w:rPr>
      </w:pPr>
      <w:r>
        <w:rPr>
          <w:rFonts w:ascii="Times New Roman" w:eastAsia="Times New Roman" w:hAnsi="Times New Roman" w:cs="Times New Roman"/>
          <w:color w:val="24292E"/>
          <w:sz w:val="24"/>
          <w:szCs w:val="24"/>
        </w:rPr>
        <w:t>The rise of precision medicine has created an environment conducive for the development of its public health counterpart. Khoury, Iademarco, &amp; Riley (2016) compare the aims of the two by writing, "If precision medicine is about providing the right treatment to the right patient at the right time, precision public health can be simply viewed as providing the right intervention to the right population at the right time" (p. 398</w:t>
      </w:r>
      <w:r>
        <w:rPr>
          <w:rFonts w:ascii="Times New Roman" w:eastAsia="Times New Roman" w:hAnsi="Times New Roman" w:cs="Times New Roman"/>
          <w:color w:val="31849B" w:themeColor="accent5" w:themeShade="BF"/>
          <w:sz w:val="24"/>
          <w:szCs w:val="24"/>
        </w:rPr>
        <w:t xml:space="preserve">).  With precision medicine, the primary unit of analysis is the </w:t>
      </w:r>
      <w:r>
        <w:rPr>
          <w:rFonts w:ascii="Times New Roman" w:eastAsia="Times New Roman" w:hAnsi="Times New Roman" w:cs="Times New Roman"/>
          <w:i/>
          <w:color w:val="31849B" w:themeColor="accent5" w:themeShade="BF"/>
          <w:sz w:val="24"/>
          <w:szCs w:val="24"/>
        </w:rPr>
        <w:t>person</w:t>
      </w:r>
      <w:r>
        <w:rPr>
          <w:rFonts w:ascii="Times New Roman" w:eastAsia="Times New Roman" w:hAnsi="Times New Roman" w:cs="Times New Roman"/>
          <w:color w:val="31849B" w:themeColor="accent5" w:themeShade="BF"/>
          <w:sz w:val="24"/>
          <w:szCs w:val="24"/>
        </w:rPr>
        <w:t xml:space="preserve"> whereas the </w:t>
      </w:r>
      <w:r>
        <w:rPr>
          <w:rFonts w:ascii="Times New Roman" w:eastAsia="Times New Roman" w:hAnsi="Times New Roman" w:cs="Times New Roman"/>
          <w:i/>
          <w:color w:val="31849B" w:themeColor="accent5" w:themeShade="BF"/>
          <w:sz w:val="24"/>
          <w:szCs w:val="24"/>
        </w:rPr>
        <w:t>population</w:t>
      </w:r>
      <w:r>
        <w:rPr>
          <w:rFonts w:ascii="Times New Roman" w:eastAsia="Times New Roman" w:hAnsi="Times New Roman" w:cs="Times New Roman"/>
          <w:color w:val="31849B" w:themeColor="accent5" w:themeShade="BF"/>
          <w:sz w:val="24"/>
          <w:szCs w:val="24"/>
        </w:rPr>
        <w:t xml:space="preserve"> takes center stage in precision public health.  </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Precision public health - if it is to succeed - will need to embrace an interdisciplinary approach. That is, data to support research questions in this emerging field will need to come from a variety of fields, including statistics, geography, economics, sociology, health, biology, genetics, and ecology, to name just a few.</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Notes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Need to highlight the role of validation in the public health research process and the concomitant design implications for the underlying research system.  This is a feedback loop of sorts.  Published research that has been validated ought to inform future lines of inquiry.  Hence, the need to store full-text articles in the research system alongside the raw data. </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References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Dickerson, D and Yao, P. (2014). In Magnuson, J.A. and Fu, P.C. (</w:t>
      </w:r>
      <w:proofErr w:type="gramStart"/>
      <w:r>
        <w:rPr>
          <w:rFonts w:ascii="Times New Roman" w:eastAsia="Times New Roman" w:hAnsi="Times New Roman" w:cs="Times New Roman"/>
          <w:color w:val="24292E"/>
          <w:sz w:val="24"/>
          <w:szCs w:val="24"/>
        </w:rPr>
        <w:t>eds</w:t>
      </w:r>
      <w:proofErr w:type="gramEnd"/>
      <w:r>
        <w:rPr>
          <w:rFonts w:ascii="Times New Roman" w:eastAsia="Times New Roman" w:hAnsi="Times New Roman" w:cs="Times New Roman"/>
          <w:color w:val="24292E"/>
          <w:sz w:val="24"/>
          <w:szCs w:val="24"/>
        </w:rPr>
        <w:t>) Public health informatics and information systems (2nd ed.). New York, NY: Springer.</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Freeman, D. (2006). The scientist as rebel. New York, NY: New York Review of Books. </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Hunt, M. (1997). How science takes stock: The story of meta-analysis. New York, NY: Russell Sage Foundation.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 J., et al (2013). Transforming Epidemiology for 21st Century Medicine and Public Health. </w:t>
      </w:r>
      <w:r>
        <w:rPr>
          <w:rFonts w:ascii="Times New Roman" w:eastAsia="Times New Roman" w:hAnsi="Times New Roman" w:cs="Times New Roman"/>
          <w:i/>
          <w:iCs/>
          <w:color w:val="24292E"/>
          <w:sz w:val="24"/>
          <w:szCs w:val="24"/>
        </w:rPr>
        <w:t>Cancer Epidemiology, Biomarkers &amp; Prevention, 22</w:t>
      </w:r>
      <w:r>
        <w:rPr>
          <w:rFonts w:ascii="Times New Roman" w:eastAsia="Times New Roman" w:hAnsi="Times New Roman" w:cs="Times New Roman"/>
          <w:color w:val="24292E"/>
          <w:sz w:val="24"/>
          <w:szCs w:val="24"/>
        </w:rPr>
        <w:t xml:space="preserve">(4), 508–516. </w:t>
      </w:r>
      <w:proofErr w:type="gramStart"/>
      <w:r>
        <w:rPr>
          <w:rFonts w:ascii="Times New Roman" w:eastAsia="Times New Roman" w:hAnsi="Times New Roman" w:cs="Times New Roman"/>
          <w:color w:val="24292E"/>
          <w:sz w:val="24"/>
          <w:szCs w:val="24"/>
        </w:rPr>
        <w:t>doi</w:t>
      </w:r>
      <w:proofErr w:type="gramEnd"/>
      <w:r>
        <w:rPr>
          <w:rFonts w:ascii="Times New Roman" w:eastAsia="Times New Roman" w:hAnsi="Times New Roman" w:cs="Times New Roman"/>
          <w:color w:val="24292E"/>
          <w:sz w:val="24"/>
          <w:szCs w:val="24"/>
        </w:rPr>
        <w:t>: 10.1158/1055-9965.EPI-13-0146</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 J., Iademarco, M. F., and Riley, W. T. (2016). Precision public health for the era of precision medicine. </w:t>
      </w:r>
      <w:r>
        <w:rPr>
          <w:rFonts w:ascii="Times New Roman" w:eastAsia="Times New Roman" w:hAnsi="Times New Roman" w:cs="Times New Roman"/>
          <w:i/>
          <w:iCs/>
          <w:color w:val="24292E"/>
          <w:sz w:val="24"/>
          <w:szCs w:val="24"/>
        </w:rPr>
        <w:t>American Journal of Preventive Medicine, 50</w:t>
      </w:r>
      <w:r>
        <w:rPr>
          <w:rFonts w:ascii="Times New Roman" w:eastAsia="Times New Roman" w:hAnsi="Times New Roman" w:cs="Times New Roman"/>
          <w:color w:val="24292E"/>
          <w:sz w:val="24"/>
          <w:szCs w:val="24"/>
        </w:rPr>
        <w:t xml:space="preserve">(3), 398-401. </w:t>
      </w:r>
      <w:proofErr w:type="gramStart"/>
      <w:r>
        <w:rPr>
          <w:rFonts w:ascii="Times New Roman" w:eastAsia="Times New Roman" w:hAnsi="Times New Roman" w:cs="Times New Roman"/>
          <w:color w:val="24292E"/>
          <w:sz w:val="24"/>
          <w:szCs w:val="24"/>
        </w:rPr>
        <w:t>doi</w:t>
      </w:r>
      <w:proofErr w:type="gramEnd"/>
      <w:r>
        <w:rPr>
          <w:rFonts w:ascii="Times New Roman" w:eastAsia="Times New Roman" w:hAnsi="Times New Roman" w:cs="Times New Roman"/>
          <w:color w:val="24292E"/>
          <w:sz w:val="24"/>
          <w:szCs w:val="24"/>
        </w:rPr>
        <w:t>: 10.1016/j.amepre.2015.08.31</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M.J. and Ioannidis, J.P.A. (2014). Big data meets public health. </w:t>
      </w:r>
      <w:r>
        <w:rPr>
          <w:rFonts w:ascii="Times New Roman" w:eastAsia="Times New Roman" w:hAnsi="Times New Roman" w:cs="Times New Roman"/>
          <w:i/>
          <w:iCs/>
          <w:color w:val="24292E"/>
          <w:sz w:val="24"/>
          <w:szCs w:val="24"/>
        </w:rPr>
        <w:t>Science, 346</w:t>
      </w:r>
      <w:r>
        <w:rPr>
          <w:rFonts w:ascii="Times New Roman" w:eastAsia="Times New Roman" w:hAnsi="Times New Roman" w:cs="Times New Roman"/>
          <w:color w:val="24292E"/>
          <w:sz w:val="24"/>
          <w:szCs w:val="24"/>
        </w:rPr>
        <w:t>(6213), 1054-1055.</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Ola, O. and Sedig, K. (2014). The challenge of big data in public health: An opportunity for visual analytics. </w:t>
      </w:r>
      <w:r>
        <w:rPr>
          <w:rFonts w:ascii="Times New Roman" w:eastAsia="Times New Roman" w:hAnsi="Times New Roman" w:cs="Times New Roman"/>
          <w:i/>
          <w:iCs/>
          <w:color w:val="24292E"/>
          <w:sz w:val="24"/>
          <w:szCs w:val="24"/>
        </w:rPr>
        <w:t>Online Journal of Public Health Informatics 5</w:t>
      </w:r>
      <w:r>
        <w:rPr>
          <w:rFonts w:ascii="Times New Roman" w:eastAsia="Times New Roman" w:hAnsi="Times New Roman" w:cs="Times New Roman"/>
          <w:color w:val="24292E"/>
          <w:sz w:val="24"/>
          <w:szCs w:val="24"/>
        </w:rPr>
        <w:t>(3):e223.</w:t>
      </w:r>
    </w:p>
    <w:p w:rsidR="006C20D3" w:rsidRDefault="006C20D3" w:rsidP="001D61A0"/>
    <w:p w:rsidR="000D3AC5" w:rsidRDefault="000D3AC5" w:rsidP="001D61A0"/>
    <w:p w:rsidR="000D3AC5" w:rsidRPr="001D61A0" w:rsidRDefault="000D3AC5" w:rsidP="001D61A0"/>
    <w:sectPr w:rsidR="000D3AC5" w:rsidRPr="001D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A0"/>
    <w:rsid w:val="000003D2"/>
    <w:rsid w:val="0000452E"/>
    <w:rsid w:val="00011B4B"/>
    <w:rsid w:val="00025DF0"/>
    <w:rsid w:val="0002653A"/>
    <w:rsid w:val="00036156"/>
    <w:rsid w:val="0004109C"/>
    <w:rsid w:val="00056F09"/>
    <w:rsid w:val="00062FA3"/>
    <w:rsid w:val="000761E6"/>
    <w:rsid w:val="00080FC5"/>
    <w:rsid w:val="0008631D"/>
    <w:rsid w:val="00090ED9"/>
    <w:rsid w:val="0009740B"/>
    <w:rsid w:val="00097DEE"/>
    <w:rsid w:val="000A0CDA"/>
    <w:rsid w:val="000A396D"/>
    <w:rsid w:val="000A5028"/>
    <w:rsid w:val="000B7A0B"/>
    <w:rsid w:val="000C41E9"/>
    <w:rsid w:val="000C748E"/>
    <w:rsid w:val="000C77E2"/>
    <w:rsid w:val="000D3AC5"/>
    <w:rsid w:val="000D54C0"/>
    <w:rsid w:val="000D777B"/>
    <w:rsid w:val="000E2159"/>
    <w:rsid w:val="000E5D4C"/>
    <w:rsid w:val="000E6C95"/>
    <w:rsid w:val="001050A3"/>
    <w:rsid w:val="00106811"/>
    <w:rsid w:val="0010694E"/>
    <w:rsid w:val="0011218E"/>
    <w:rsid w:val="00121E88"/>
    <w:rsid w:val="00141BDF"/>
    <w:rsid w:val="00156DE8"/>
    <w:rsid w:val="00157D06"/>
    <w:rsid w:val="00197C90"/>
    <w:rsid w:val="001C08DB"/>
    <w:rsid w:val="001D61A0"/>
    <w:rsid w:val="002204C0"/>
    <w:rsid w:val="00222B0C"/>
    <w:rsid w:val="00224908"/>
    <w:rsid w:val="00236420"/>
    <w:rsid w:val="00237587"/>
    <w:rsid w:val="00242D54"/>
    <w:rsid w:val="00245954"/>
    <w:rsid w:val="00262D6C"/>
    <w:rsid w:val="00285ADA"/>
    <w:rsid w:val="002A150A"/>
    <w:rsid w:val="002C3E76"/>
    <w:rsid w:val="002C41F1"/>
    <w:rsid w:val="002C4603"/>
    <w:rsid w:val="002E1D50"/>
    <w:rsid w:val="002E2D14"/>
    <w:rsid w:val="002E36C3"/>
    <w:rsid w:val="002F53D9"/>
    <w:rsid w:val="0030307A"/>
    <w:rsid w:val="00314B1D"/>
    <w:rsid w:val="0032371A"/>
    <w:rsid w:val="0034351A"/>
    <w:rsid w:val="0034562E"/>
    <w:rsid w:val="003540B0"/>
    <w:rsid w:val="003641E9"/>
    <w:rsid w:val="003652C0"/>
    <w:rsid w:val="00367E8B"/>
    <w:rsid w:val="00371FAB"/>
    <w:rsid w:val="003769E8"/>
    <w:rsid w:val="00380164"/>
    <w:rsid w:val="0038492D"/>
    <w:rsid w:val="003A1836"/>
    <w:rsid w:val="003A3D55"/>
    <w:rsid w:val="003A4E98"/>
    <w:rsid w:val="003A5BA2"/>
    <w:rsid w:val="003B1148"/>
    <w:rsid w:val="003B2C61"/>
    <w:rsid w:val="003B339F"/>
    <w:rsid w:val="003C106B"/>
    <w:rsid w:val="003C20B6"/>
    <w:rsid w:val="003C6CEB"/>
    <w:rsid w:val="00412595"/>
    <w:rsid w:val="00422452"/>
    <w:rsid w:val="0042476D"/>
    <w:rsid w:val="00440CAA"/>
    <w:rsid w:val="004568F8"/>
    <w:rsid w:val="00457F49"/>
    <w:rsid w:val="00463648"/>
    <w:rsid w:val="0046445A"/>
    <w:rsid w:val="0046517F"/>
    <w:rsid w:val="00467D39"/>
    <w:rsid w:val="0048622F"/>
    <w:rsid w:val="0049597D"/>
    <w:rsid w:val="004A1AE6"/>
    <w:rsid w:val="004A4FA1"/>
    <w:rsid w:val="004B3197"/>
    <w:rsid w:val="004C6B31"/>
    <w:rsid w:val="004D70F2"/>
    <w:rsid w:val="004D7538"/>
    <w:rsid w:val="004E49F4"/>
    <w:rsid w:val="004F5AE9"/>
    <w:rsid w:val="004F784F"/>
    <w:rsid w:val="00500F8C"/>
    <w:rsid w:val="005147C8"/>
    <w:rsid w:val="00515FD3"/>
    <w:rsid w:val="005254CF"/>
    <w:rsid w:val="005317DF"/>
    <w:rsid w:val="00532968"/>
    <w:rsid w:val="0055643C"/>
    <w:rsid w:val="005912C5"/>
    <w:rsid w:val="005A2790"/>
    <w:rsid w:val="005B0926"/>
    <w:rsid w:val="005B6FA5"/>
    <w:rsid w:val="005C147E"/>
    <w:rsid w:val="005F3F70"/>
    <w:rsid w:val="005F6355"/>
    <w:rsid w:val="00610CFD"/>
    <w:rsid w:val="00624604"/>
    <w:rsid w:val="006264F1"/>
    <w:rsid w:val="0063065F"/>
    <w:rsid w:val="00642589"/>
    <w:rsid w:val="00653298"/>
    <w:rsid w:val="00664CC7"/>
    <w:rsid w:val="00673387"/>
    <w:rsid w:val="006734E4"/>
    <w:rsid w:val="006A5F14"/>
    <w:rsid w:val="006A61FC"/>
    <w:rsid w:val="006B0948"/>
    <w:rsid w:val="006B61A9"/>
    <w:rsid w:val="006C20D3"/>
    <w:rsid w:val="006E513D"/>
    <w:rsid w:val="0071139E"/>
    <w:rsid w:val="0072203D"/>
    <w:rsid w:val="00725D1F"/>
    <w:rsid w:val="00727EAE"/>
    <w:rsid w:val="00733873"/>
    <w:rsid w:val="00740A96"/>
    <w:rsid w:val="00744E7E"/>
    <w:rsid w:val="0076320C"/>
    <w:rsid w:val="007676CF"/>
    <w:rsid w:val="00770671"/>
    <w:rsid w:val="00772827"/>
    <w:rsid w:val="00777646"/>
    <w:rsid w:val="00784805"/>
    <w:rsid w:val="007971BA"/>
    <w:rsid w:val="007A5E26"/>
    <w:rsid w:val="007B224D"/>
    <w:rsid w:val="007B309C"/>
    <w:rsid w:val="007E4166"/>
    <w:rsid w:val="007E6845"/>
    <w:rsid w:val="007F6E5F"/>
    <w:rsid w:val="008110C1"/>
    <w:rsid w:val="00811D66"/>
    <w:rsid w:val="0082354B"/>
    <w:rsid w:val="00823B91"/>
    <w:rsid w:val="00824B9F"/>
    <w:rsid w:val="00832402"/>
    <w:rsid w:val="00833F18"/>
    <w:rsid w:val="0085273A"/>
    <w:rsid w:val="00863722"/>
    <w:rsid w:val="00883063"/>
    <w:rsid w:val="008B7838"/>
    <w:rsid w:val="008D1900"/>
    <w:rsid w:val="008D383E"/>
    <w:rsid w:val="008E7A67"/>
    <w:rsid w:val="008F7C5C"/>
    <w:rsid w:val="00902744"/>
    <w:rsid w:val="00903824"/>
    <w:rsid w:val="00904238"/>
    <w:rsid w:val="009129D2"/>
    <w:rsid w:val="0092726F"/>
    <w:rsid w:val="0094185B"/>
    <w:rsid w:val="00967E2A"/>
    <w:rsid w:val="00973D2C"/>
    <w:rsid w:val="00984289"/>
    <w:rsid w:val="0099326E"/>
    <w:rsid w:val="00993B11"/>
    <w:rsid w:val="00995C63"/>
    <w:rsid w:val="009C3BED"/>
    <w:rsid w:val="009C5270"/>
    <w:rsid w:val="009D02B9"/>
    <w:rsid w:val="009D5F3D"/>
    <w:rsid w:val="009E2460"/>
    <w:rsid w:val="009F67C5"/>
    <w:rsid w:val="00A037D9"/>
    <w:rsid w:val="00A234BE"/>
    <w:rsid w:val="00A2469B"/>
    <w:rsid w:val="00A376D3"/>
    <w:rsid w:val="00A43EFF"/>
    <w:rsid w:val="00A512A1"/>
    <w:rsid w:val="00A568E7"/>
    <w:rsid w:val="00A755ED"/>
    <w:rsid w:val="00A778C9"/>
    <w:rsid w:val="00A96C0B"/>
    <w:rsid w:val="00AA6C21"/>
    <w:rsid w:val="00AB1DC4"/>
    <w:rsid w:val="00AC1B26"/>
    <w:rsid w:val="00AD7C8B"/>
    <w:rsid w:val="00AF68A0"/>
    <w:rsid w:val="00AF729A"/>
    <w:rsid w:val="00B00804"/>
    <w:rsid w:val="00B1635F"/>
    <w:rsid w:val="00B165D8"/>
    <w:rsid w:val="00B31671"/>
    <w:rsid w:val="00B421DB"/>
    <w:rsid w:val="00B45EAD"/>
    <w:rsid w:val="00B47B25"/>
    <w:rsid w:val="00B712F3"/>
    <w:rsid w:val="00B73036"/>
    <w:rsid w:val="00B77002"/>
    <w:rsid w:val="00BA10D6"/>
    <w:rsid w:val="00BA518C"/>
    <w:rsid w:val="00BB4FCC"/>
    <w:rsid w:val="00BB73A9"/>
    <w:rsid w:val="00BC1BD5"/>
    <w:rsid w:val="00BC2836"/>
    <w:rsid w:val="00BC52F6"/>
    <w:rsid w:val="00BD024F"/>
    <w:rsid w:val="00BD4014"/>
    <w:rsid w:val="00BD79D0"/>
    <w:rsid w:val="00BF7D1B"/>
    <w:rsid w:val="00C04662"/>
    <w:rsid w:val="00C07E7C"/>
    <w:rsid w:val="00C12A3B"/>
    <w:rsid w:val="00C22177"/>
    <w:rsid w:val="00C4062F"/>
    <w:rsid w:val="00C445A6"/>
    <w:rsid w:val="00C4751A"/>
    <w:rsid w:val="00C53DE0"/>
    <w:rsid w:val="00C67D7F"/>
    <w:rsid w:val="00C77049"/>
    <w:rsid w:val="00C77FC7"/>
    <w:rsid w:val="00C843ED"/>
    <w:rsid w:val="00CA2A0B"/>
    <w:rsid w:val="00CA364D"/>
    <w:rsid w:val="00CA37A3"/>
    <w:rsid w:val="00CA62A8"/>
    <w:rsid w:val="00CC28CF"/>
    <w:rsid w:val="00CC4BE2"/>
    <w:rsid w:val="00CD07B0"/>
    <w:rsid w:val="00CD201D"/>
    <w:rsid w:val="00CE3179"/>
    <w:rsid w:val="00D101AD"/>
    <w:rsid w:val="00D24CAE"/>
    <w:rsid w:val="00D256DE"/>
    <w:rsid w:val="00D53193"/>
    <w:rsid w:val="00D56526"/>
    <w:rsid w:val="00D74FB1"/>
    <w:rsid w:val="00D811F6"/>
    <w:rsid w:val="00D91DF5"/>
    <w:rsid w:val="00D9781C"/>
    <w:rsid w:val="00DA1B07"/>
    <w:rsid w:val="00DB02F8"/>
    <w:rsid w:val="00DC4084"/>
    <w:rsid w:val="00DC5846"/>
    <w:rsid w:val="00DE1C0F"/>
    <w:rsid w:val="00DF788E"/>
    <w:rsid w:val="00E23179"/>
    <w:rsid w:val="00E24D9C"/>
    <w:rsid w:val="00E30A97"/>
    <w:rsid w:val="00E3555E"/>
    <w:rsid w:val="00E46D15"/>
    <w:rsid w:val="00E508F3"/>
    <w:rsid w:val="00E66239"/>
    <w:rsid w:val="00E6628E"/>
    <w:rsid w:val="00E72009"/>
    <w:rsid w:val="00E76A9A"/>
    <w:rsid w:val="00E92459"/>
    <w:rsid w:val="00E93DBD"/>
    <w:rsid w:val="00E94412"/>
    <w:rsid w:val="00EA2F1A"/>
    <w:rsid w:val="00EA3F42"/>
    <w:rsid w:val="00EA4913"/>
    <w:rsid w:val="00EA7705"/>
    <w:rsid w:val="00EB191B"/>
    <w:rsid w:val="00EB3590"/>
    <w:rsid w:val="00EB4C67"/>
    <w:rsid w:val="00EB551F"/>
    <w:rsid w:val="00EC160E"/>
    <w:rsid w:val="00EE1A02"/>
    <w:rsid w:val="00EE60E3"/>
    <w:rsid w:val="00EF0D36"/>
    <w:rsid w:val="00EF0DAB"/>
    <w:rsid w:val="00F02255"/>
    <w:rsid w:val="00F162AD"/>
    <w:rsid w:val="00F22D19"/>
    <w:rsid w:val="00F233BA"/>
    <w:rsid w:val="00F254D5"/>
    <w:rsid w:val="00F345C7"/>
    <w:rsid w:val="00F36D17"/>
    <w:rsid w:val="00F43FB9"/>
    <w:rsid w:val="00F7071D"/>
    <w:rsid w:val="00F70A5E"/>
    <w:rsid w:val="00F814BD"/>
    <w:rsid w:val="00F828D9"/>
    <w:rsid w:val="00F82FAE"/>
    <w:rsid w:val="00F8721C"/>
    <w:rsid w:val="00FA47C6"/>
    <w:rsid w:val="00FB1526"/>
    <w:rsid w:val="00FB1C55"/>
    <w:rsid w:val="00FC1F24"/>
    <w:rsid w:val="00FC1FF7"/>
    <w:rsid w:val="00FE46A8"/>
    <w:rsid w:val="00FF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6BE7"/>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D3"/>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8</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Maxwell,Daniel</cp:lastModifiedBy>
  <cp:revision>47</cp:revision>
  <dcterms:created xsi:type="dcterms:W3CDTF">2019-03-31T14:21:00Z</dcterms:created>
  <dcterms:modified xsi:type="dcterms:W3CDTF">2019-04-03T18:04:00Z</dcterms:modified>
</cp:coreProperties>
</file>