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3806" w:rsidRPr="00BE3806" w:rsidRDefault="00BE3806" w:rsidP="00BE3806">
      <w:pPr>
        <w:spacing w:before="100" w:beforeAutospacing="1" w:after="240" w:line="240" w:lineRule="auto"/>
        <w:jc w:val="center"/>
        <w:rPr>
          <w:rFonts w:ascii="Times New Roman" w:eastAsia="Times New Roman" w:hAnsi="Times New Roman" w:cs="Times New Roman"/>
          <w:color w:val="24292E"/>
          <w:sz w:val="24"/>
          <w:szCs w:val="24"/>
        </w:rPr>
      </w:pPr>
      <w:r w:rsidRPr="00BE3806">
        <w:rPr>
          <w:rFonts w:ascii="Times New Roman" w:eastAsia="Times New Roman" w:hAnsi="Times New Roman" w:cs="Times New Roman"/>
          <w:i/>
          <w:iCs/>
          <w:color w:val="24292E"/>
          <w:sz w:val="24"/>
          <w:szCs w:val="24"/>
        </w:rPr>
        <w:t>The reproducibility machine: Designing an integrated big data research system to support precision health researchers</w:t>
      </w:r>
    </w:p>
    <w:p w:rsidR="00BE3806" w:rsidRPr="00BE3806" w:rsidRDefault="00BE3806" w:rsidP="00BE3806">
      <w:pPr>
        <w:spacing w:after="240" w:line="240" w:lineRule="auto"/>
        <w:rPr>
          <w:rFonts w:ascii="Times New Roman" w:eastAsia="Times New Roman" w:hAnsi="Times New Roman" w:cs="Times New Roman"/>
          <w:b/>
          <w:bCs/>
          <w:color w:val="24292E"/>
          <w:sz w:val="24"/>
          <w:szCs w:val="24"/>
        </w:rPr>
      </w:pPr>
      <w:r w:rsidRPr="00BE3806">
        <w:rPr>
          <w:rFonts w:ascii="Times New Roman" w:eastAsia="Times New Roman" w:hAnsi="Times New Roman" w:cs="Times New Roman"/>
          <w:b/>
          <w:bCs/>
          <w:color w:val="24292E"/>
          <w:sz w:val="24"/>
          <w:szCs w:val="24"/>
        </w:rPr>
        <w:t>Precision Public Health</w:t>
      </w:r>
    </w:p>
    <w:p w:rsidR="00BE3806" w:rsidRPr="00BE3806" w:rsidRDefault="00BE3806" w:rsidP="00BE3806">
      <w:pPr>
        <w:spacing w:after="240" w:line="240" w:lineRule="auto"/>
        <w:rPr>
          <w:rFonts w:ascii="Times New Roman" w:eastAsia="Times New Roman" w:hAnsi="Times New Roman" w:cs="Times New Roman"/>
          <w:color w:val="24292E"/>
          <w:sz w:val="24"/>
          <w:szCs w:val="24"/>
        </w:rPr>
      </w:pPr>
      <w:r w:rsidRPr="00BE3806">
        <w:rPr>
          <w:rFonts w:ascii="Times New Roman" w:eastAsia="Times New Roman" w:hAnsi="Times New Roman" w:cs="Times New Roman"/>
          <w:color w:val="24292E"/>
          <w:sz w:val="24"/>
          <w:szCs w:val="24"/>
        </w:rPr>
        <w:t>In many ways, precision public health is but a natural extension of epidemiology combined with medical geography. The rise of precision medicine has created an environment conducive for the development of its public health counterpart. Khoury, Iademarco, &amp; Riley (2016) compare the aims of the two by writing, "If precision medicine is about providing the right treatment to the right patient at the right time, precision public health can be simply viewed as providing the right intervention to the right population at the right time" (p. 398). This quote also highlights a key difference between the two fields. With precision medicine, the focus is on the </w:t>
      </w:r>
      <w:r w:rsidRPr="00BE3806">
        <w:rPr>
          <w:rFonts w:ascii="Times New Roman" w:eastAsia="Times New Roman" w:hAnsi="Times New Roman" w:cs="Times New Roman"/>
          <w:b/>
          <w:bCs/>
          <w:color w:val="24292E"/>
          <w:sz w:val="24"/>
          <w:szCs w:val="24"/>
        </w:rPr>
        <w:t>individual</w:t>
      </w:r>
      <w:r w:rsidRPr="00BE3806">
        <w:rPr>
          <w:rFonts w:ascii="Times New Roman" w:eastAsia="Times New Roman" w:hAnsi="Times New Roman" w:cs="Times New Roman"/>
          <w:color w:val="24292E"/>
          <w:sz w:val="24"/>
          <w:szCs w:val="24"/>
        </w:rPr>
        <w:t>. While with precision public health, the focus shifts to the </w:t>
      </w:r>
      <w:r w:rsidRPr="00BE3806">
        <w:rPr>
          <w:rFonts w:ascii="Times New Roman" w:eastAsia="Times New Roman" w:hAnsi="Times New Roman" w:cs="Times New Roman"/>
          <w:b/>
          <w:bCs/>
          <w:color w:val="24292E"/>
          <w:sz w:val="24"/>
          <w:szCs w:val="24"/>
        </w:rPr>
        <w:t>population</w:t>
      </w:r>
      <w:r w:rsidRPr="00BE3806">
        <w:rPr>
          <w:rFonts w:ascii="Times New Roman" w:eastAsia="Times New Roman" w:hAnsi="Times New Roman" w:cs="Times New Roman"/>
          <w:color w:val="24292E"/>
          <w:sz w:val="24"/>
          <w:szCs w:val="24"/>
        </w:rPr>
        <w:t>. Additionally, precision public health concerns itself with prevention, intervention before the expression of disease. This is less the case with precision medicine where the primary concern is the identification of an appropriate treatment, after the fact.</w:t>
      </w:r>
    </w:p>
    <w:p w:rsidR="00BE3806" w:rsidRPr="00BE3806" w:rsidRDefault="00BE3806" w:rsidP="00BE3806">
      <w:pPr>
        <w:spacing w:after="240" w:line="240" w:lineRule="auto"/>
        <w:rPr>
          <w:rFonts w:ascii="Times New Roman" w:eastAsia="Times New Roman" w:hAnsi="Times New Roman" w:cs="Times New Roman"/>
          <w:color w:val="24292E"/>
          <w:sz w:val="24"/>
          <w:szCs w:val="24"/>
        </w:rPr>
      </w:pPr>
      <w:r w:rsidRPr="00BE3806">
        <w:rPr>
          <w:rFonts w:ascii="Times New Roman" w:eastAsia="Times New Roman" w:hAnsi="Times New Roman" w:cs="Times New Roman"/>
          <w:color w:val="24292E"/>
          <w:sz w:val="24"/>
          <w:szCs w:val="24"/>
        </w:rPr>
        <w:t>Precision public health - if it is to succeed - will need to embrace an interdisciplinary approach. That is, data to support research questions in this emerging field will need to come from a variety of fields, including statistics, geography, economics, sociology, health, biology, genetics, and ecology, to name just a few.</w:t>
      </w:r>
    </w:p>
    <w:p w:rsidR="00BE3806" w:rsidRPr="00BE3806" w:rsidRDefault="00BE3806" w:rsidP="00BE3806">
      <w:pPr>
        <w:spacing w:after="240" w:line="240" w:lineRule="auto"/>
        <w:rPr>
          <w:rFonts w:ascii="Times New Roman" w:eastAsia="Times New Roman" w:hAnsi="Times New Roman" w:cs="Times New Roman"/>
          <w:b/>
          <w:color w:val="24292E"/>
          <w:sz w:val="24"/>
          <w:szCs w:val="24"/>
        </w:rPr>
      </w:pPr>
      <w:r w:rsidRPr="00BE3806">
        <w:rPr>
          <w:rFonts w:ascii="Times New Roman" w:eastAsia="Times New Roman" w:hAnsi="Times New Roman" w:cs="Times New Roman"/>
          <w:b/>
          <w:color w:val="24292E"/>
          <w:sz w:val="24"/>
          <w:szCs w:val="24"/>
        </w:rPr>
        <w:t>The 21</w:t>
      </w:r>
      <w:r w:rsidRPr="00BE3806">
        <w:rPr>
          <w:rFonts w:ascii="Times New Roman" w:eastAsia="Times New Roman" w:hAnsi="Times New Roman" w:cs="Times New Roman"/>
          <w:b/>
          <w:color w:val="24292E"/>
          <w:sz w:val="24"/>
          <w:szCs w:val="24"/>
          <w:vertAlign w:val="superscript"/>
        </w:rPr>
        <w:t>st</w:t>
      </w:r>
      <w:r w:rsidRPr="00BE3806">
        <w:rPr>
          <w:rFonts w:ascii="Times New Roman" w:eastAsia="Times New Roman" w:hAnsi="Times New Roman" w:cs="Times New Roman"/>
          <w:b/>
          <w:color w:val="24292E"/>
          <w:sz w:val="24"/>
          <w:szCs w:val="24"/>
        </w:rPr>
        <w:t xml:space="preserve"> Century Public Health Research System</w:t>
      </w:r>
    </w:p>
    <w:p w:rsidR="00BE3806" w:rsidRPr="00BE3806" w:rsidRDefault="00BE3806" w:rsidP="00BE3806">
      <w:pPr>
        <w:spacing w:after="240" w:line="240" w:lineRule="auto"/>
        <w:rPr>
          <w:rFonts w:ascii="Times New Roman" w:eastAsia="Times New Roman" w:hAnsi="Times New Roman" w:cs="Times New Roman"/>
          <w:color w:val="24292E"/>
          <w:sz w:val="24"/>
          <w:szCs w:val="24"/>
        </w:rPr>
      </w:pPr>
      <w:r w:rsidRPr="00BE3806">
        <w:rPr>
          <w:rFonts w:ascii="Times New Roman" w:eastAsia="Times New Roman" w:hAnsi="Times New Roman" w:cs="Times New Roman"/>
          <w:color w:val="24292E"/>
          <w:sz w:val="24"/>
          <w:szCs w:val="24"/>
        </w:rPr>
        <w:t>The opportunity is for academic research libraries to design and develop integrated research systems for our clients. Most organizations in the scientific computing space offer training in specific tools such as GitHub, Python, or R -- the Carpentries being the most prominent player. However, few talk about integrating the pieces into a whole which is greater than the sum of its parts. In other words, primary investigators today must not only master the technical details of the tools they use but they must also act as system designers, ensuring that workflow processes are properly designed and maintained. It is rare that one uses a tool in isolation. Normally a variety of tools must be configured to work together. For example, RStudio supports the creation of projects but one also needs to track versions of project components in GitHub or a similar system.</w:t>
      </w:r>
    </w:p>
    <w:p w:rsidR="00BE3806" w:rsidRPr="00BE3806" w:rsidRDefault="00BE3806" w:rsidP="00BE3806">
      <w:pPr>
        <w:spacing w:after="240" w:line="240" w:lineRule="auto"/>
        <w:rPr>
          <w:rFonts w:ascii="Times New Roman" w:eastAsia="Times New Roman" w:hAnsi="Times New Roman" w:cs="Times New Roman"/>
          <w:color w:val="24292E"/>
          <w:sz w:val="24"/>
          <w:szCs w:val="24"/>
        </w:rPr>
      </w:pPr>
      <w:r w:rsidRPr="00BE3806">
        <w:rPr>
          <w:rFonts w:ascii="Times New Roman" w:eastAsia="Times New Roman" w:hAnsi="Times New Roman" w:cs="Times New Roman"/>
          <w:color w:val="24292E"/>
          <w:sz w:val="24"/>
          <w:szCs w:val="24"/>
        </w:rPr>
        <w:t>A distinction ought to be made between a public health </w:t>
      </w:r>
      <w:r w:rsidRPr="00BE3806">
        <w:rPr>
          <w:rFonts w:ascii="Times New Roman" w:eastAsia="Times New Roman" w:hAnsi="Times New Roman" w:cs="Times New Roman"/>
          <w:b/>
          <w:bCs/>
          <w:color w:val="24292E"/>
          <w:sz w:val="24"/>
          <w:szCs w:val="24"/>
        </w:rPr>
        <w:t>research</w:t>
      </w:r>
      <w:r w:rsidRPr="00BE3806">
        <w:rPr>
          <w:rFonts w:ascii="Times New Roman" w:eastAsia="Times New Roman" w:hAnsi="Times New Roman" w:cs="Times New Roman"/>
          <w:color w:val="24292E"/>
          <w:sz w:val="24"/>
          <w:szCs w:val="24"/>
        </w:rPr>
        <w:t> systems and its counterparts -- the public health information systems which underpin the epidemiological decisions made by public health professionals. The two types of public health systems share some commonalities, but there are key differences as well. For example, the primary users (researchers vs. practicing professionals) differ somewhat in their information and data needs. For the public health professional, actionable information and data is of primary importance. While for the public health researcher, a deeper level of insight and understanding is sought. Where the focus for the practicing professional is tactical, the focus for the researcher is more strategic.</w:t>
      </w:r>
    </w:p>
    <w:p w:rsidR="00BE3806" w:rsidRPr="00BE3806" w:rsidRDefault="00BE3806" w:rsidP="00BE3806">
      <w:pPr>
        <w:spacing w:after="240" w:line="240" w:lineRule="auto"/>
        <w:rPr>
          <w:rFonts w:ascii="Times New Roman" w:eastAsia="Times New Roman" w:hAnsi="Times New Roman" w:cs="Times New Roman"/>
          <w:color w:val="24292E"/>
          <w:sz w:val="24"/>
          <w:szCs w:val="24"/>
        </w:rPr>
      </w:pPr>
      <w:r w:rsidRPr="00BE3806">
        <w:rPr>
          <w:rFonts w:ascii="Times New Roman" w:eastAsia="Times New Roman" w:hAnsi="Times New Roman" w:cs="Times New Roman"/>
          <w:color w:val="24292E"/>
          <w:sz w:val="24"/>
          <w:szCs w:val="24"/>
        </w:rPr>
        <w:t xml:space="preserve">A tactical focus - in the case of public health information systems - also entails a robust surveillance capability. This is not usually the case with public health research systems. This, then, is another important distinction between the two kinds of systems. Naturally, surveillance </w:t>
      </w:r>
      <w:r w:rsidRPr="00BE3806">
        <w:rPr>
          <w:rFonts w:ascii="Times New Roman" w:eastAsia="Times New Roman" w:hAnsi="Times New Roman" w:cs="Times New Roman"/>
          <w:color w:val="24292E"/>
          <w:sz w:val="24"/>
          <w:szCs w:val="24"/>
        </w:rPr>
        <w:lastRenderedPageBreak/>
        <w:t>data that is both accurate and granular is critical when seeking to curb an outbreak or epidemic. Such data, however, has the potential of clogging up a research system as much of it is routine, nothing more than the white noise of normality.</w:t>
      </w:r>
    </w:p>
    <w:p w:rsidR="00BE3806" w:rsidRPr="00BE3806" w:rsidRDefault="00BE3806" w:rsidP="00BE3806">
      <w:pPr>
        <w:spacing w:after="240" w:line="240" w:lineRule="auto"/>
        <w:rPr>
          <w:rFonts w:ascii="Times New Roman" w:eastAsia="Times New Roman" w:hAnsi="Times New Roman" w:cs="Times New Roman"/>
          <w:color w:val="24292E"/>
          <w:sz w:val="24"/>
          <w:szCs w:val="24"/>
        </w:rPr>
      </w:pPr>
      <w:r w:rsidRPr="00BE3806">
        <w:rPr>
          <w:rFonts w:ascii="Times New Roman" w:eastAsia="Times New Roman" w:hAnsi="Times New Roman" w:cs="Times New Roman"/>
          <w:color w:val="24292E"/>
          <w:sz w:val="24"/>
          <w:szCs w:val="24"/>
        </w:rPr>
        <w:t>Ideally, the research methodology ought to inform - specify even - the way in which data is modelled in a big data system. Public health researchers often wish to explore relationships between different levels. For example, a researcher might wish to understand how state policies impact the delivery of neonatal care in a metropolitan statistical area (MSA). In this case, the MSA is at a lower-level of analysis and most likely contained within a single state at the higher-level. The image of Russian dolls immediately comes to mind, with smaller dolls inside larger ones. The challenge, then, of public health data is creating structures which allow researchers to easily move up and down a data hierarchy, exploring effects at each level as well as interactional effects between levels.</w:t>
      </w:r>
    </w:p>
    <w:p w:rsidR="00BE3806" w:rsidRPr="00BE3806" w:rsidRDefault="00BE3806" w:rsidP="00BE3806">
      <w:pPr>
        <w:spacing w:after="240" w:line="240" w:lineRule="auto"/>
        <w:rPr>
          <w:rFonts w:ascii="Times New Roman" w:eastAsia="Times New Roman" w:hAnsi="Times New Roman" w:cs="Times New Roman"/>
          <w:b/>
          <w:color w:val="24292E"/>
          <w:sz w:val="24"/>
          <w:szCs w:val="24"/>
        </w:rPr>
      </w:pPr>
      <w:r w:rsidRPr="00BE3806">
        <w:rPr>
          <w:rFonts w:ascii="Times New Roman" w:eastAsia="Times New Roman" w:hAnsi="Times New Roman" w:cs="Times New Roman"/>
          <w:b/>
          <w:color w:val="24292E"/>
          <w:sz w:val="24"/>
          <w:szCs w:val="24"/>
        </w:rPr>
        <w:t>Big Data</w:t>
      </w:r>
    </w:p>
    <w:p w:rsidR="00BE3806" w:rsidRPr="00BE3806" w:rsidRDefault="00BE3806" w:rsidP="00BE3806">
      <w:pPr>
        <w:spacing w:after="240" w:line="240" w:lineRule="auto"/>
        <w:rPr>
          <w:rFonts w:ascii="Times New Roman" w:eastAsia="Times New Roman" w:hAnsi="Times New Roman" w:cs="Times New Roman"/>
          <w:color w:val="24292E"/>
          <w:sz w:val="24"/>
          <w:szCs w:val="24"/>
        </w:rPr>
      </w:pPr>
      <w:r w:rsidRPr="00BE3806">
        <w:rPr>
          <w:rFonts w:ascii="Times New Roman" w:eastAsia="Times New Roman" w:hAnsi="Times New Roman" w:cs="Times New Roman"/>
          <w:color w:val="24292E"/>
          <w:sz w:val="24"/>
          <w:szCs w:val="24"/>
        </w:rPr>
        <w:t>Public health professionals, as Ola &amp; Sedig (2014) point out, are "overwhelmed with massive amounts of data on a regular basis" and data set overload has "forced many epidemiologists to become data managers" (p. 11 &amp; 12). The PH informatics community has yet to address this issue in an appropriate way, especially in the data visualization space.</w:t>
      </w:r>
    </w:p>
    <w:p w:rsidR="00BE3806" w:rsidRPr="00BE3806" w:rsidRDefault="00BE3806" w:rsidP="00BE3806">
      <w:pPr>
        <w:spacing w:after="240" w:line="240" w:lineRule="auto"/>
        <w:rPr>
          <w:rFonts w:ascii="Times New Roman" w:eastAsia="Times New Roman" w:hAnsi="Times New Roman" w:cs="Times New Roman"/>
          <w:color w:val="24292E"/>
          <w:sz w:val="24"/>
          <w:szCs w:val="24"/>
        </w:rPr>
      </w:pPr>
      <w:r w:rsidRPr="00BE3806">
        <w:rPr>
          <w:rFonts w:ascii="Times New Roman" w:eastAsia="Times New Roman" w:hAnsi="Times New Roman" w:cs="Times New Roman"/>
          <w:color w:val="24292E"/>
          <w:sz w:val="24"/>
          <w:szCs w:val="24"/>
        </w:rPr>
        <w:t>Public health data is characterized by high volume, great variety, high velocity, and low veracity (Ola &amp; Sedig, 2014, p. 3). The same can be said of big data more generally, with the addition of velocity. These four attributes (volume, variety, veracity, and velocity) are also referred to as the four V's of big data.</w:t>
      </w:r>
    </w:p>
    <w:p w:rsidR="00BE3806" w:rsidRPr="00BE3806" w:rsidRDefault="00BE3806" w:rsidP="00BE3806">
      <w:pPr>
        <w:spacing w:after="240" w:line="240" w:lineRule="auto"/>
        <w:rPr>
          <w:rFonts w:ascii="Times New Roman" w:eastAsia="Times New Roman" w:hAnsi="Times New Roman" w:cs="Times New Roman"/>
          <w:color w:val="24292E"/>
          <w:sz w:val="24"/>
          <w:szCs w:val="24"/>
        </w:rPr>
      </w:pPr>
      <w:r w:rsidRPr="00BE3806">
        <w:rPr>
          <w:rFonts w:ascii="Times New Roman" w:eastAsia="Times New Roman" w:hAnsi="Times New Roman" w:cs="Times New Roman"/>
          <w:color w:val="24292E"/>
          <w:sz w:val="24"/>
          <w:szCs w:val="24"/>
        </w:rPr>
        <w:t>In recommendation # 5 of their article, </w:t>
      </w:r>
      <w:r w:rsidRPr="00BE3806">
        <w:rPr>
          <w:rFonts w:ascii="Times New Roman" w:eastAsia="Times New Roman" w:hAnsi="Times New Roman" w:cs="Times New Roman"/>
          <w:i/>
          <w:iCs/>
          <w:color w:val="24292E"/>
          <w:sz w:val="24"/>
          <w:szCs w:val="24"/>
        </w:rPr>
        <w:t>Transforming Epidemiology for 21st Century Medicine and Public Health</w:t>
      </w:r>
      <w:r w:rsidRPr="00BE3806">
        <w:rPr>
          <w:rFonts w:ascii="Times New Roman" w:eastAsia="Times New Roman" w:hAnsi="Times New Roman" w:cs="Times New Roman"/>
          <w:color w:val="24292E"/>
          <w:sz w:val="24"/>
          <w:szCs w:val="24"/>
        </w:rPr>
        <w:t>, Khoury et al (2013) write, "The development of systematic approaches to robustly manage, integrate, analyze, and interpret large complex data sets is </w:t>
      </w:r>
      <w:r w:rsidRPr="00BE3806">
        <w:rPr>
          <w:rFonts w:ascii="Times New Roman" w:eastAsia="Times New Roman" w:hAnsi="Times New Roman" w:cs="Times New Roman"/>
          <w:b/>
          <w:bCs/>
          <w:color w:val="24292E"/>
          <w:sz w:val="24"/>
          <w:szCs w:val="24"/>
        </w:rPr>
        <w:t>crucial</w:t>
      </w:r>
      <w:r w:rsidRPr="00BE3806">
        <w:rPr>
          <w:rFonts w:ascii="Times New Roman" w:eastAsia="Times New Roman" w:hAnsi="Times New Roman" w:cs="Times New Roman"/>
          <w:color w:val="24292E"/>
          <w:sz w:val="24"/>
          <w:szCs w:val="24"/>
        </w:rPr>
        <w:t> (p. 14). Furthermore, the authors recognize that this challenge requires not only expertise but political acumen as well.</w:t>
      </w:r>
    </w:p>
    <w:p w:rsidR="00BE3806" w:rsidRPr="00BE3806" w:rsidRDefault="00BE3806" w:rsidP="00BE3806">
      <w:pPr>
        <w:spacing w:after="240" w:line="240" w:lineRule="auto"/>
        <w:rPr>
          <w:rFonts w:ascii="Times New Roman" w:eastAsia="Times New Roman" w:hAnsi="Times New Roman" w:cs="Times New Roman"/>
          <w:color w:val="24292E"/>
          <w:sz w:val="24"/>
          <w:szCs w:val="24"/>
        </w:rPr>
      </w:pPr>
      <w:r w:rsidRPr="00BE3806">
        <w:rPr>
          <w:rFonts w:ascii="Times New Roman" w:eastAsia="Times New Roman" w:hAnsi="Times New Roman" w:cs="Times New Roman"/>
          <w:color w:val="24292E"/>
          <w:sz w:val="24"/>
          <w:szCs w:val="24"/>
        </w:rPr>
        <w:t>Technology makes it easier to search out and discover associations in big data environments. Yet this capability also enhances the probability of "discovering" spurious correlations. The same holds true for precision medicine. Khoury, Iademarco, and Riley (2016) write, "As with precision medicine, separating signal from noise will not be easy" (p. 401). In other words, big data is not a panacea because "big error can plague big data" (Khoury &amp; Ioannidis, 2014, p. 1054). The problem lies in determining which signals are real and which are nothing more than false positives. As of now, there is no method for quickly and cost-effectively separating the two, for deciding which leads ought to be followed and which ought to be abandoned. Public health researchers frequently report correlations but then fail to validate their findings. Admittedly, validation can - and often is - an expensive proposition. But without it, the underlying research foundation for public health lacks credibility.</w:t>
      </w:r>
    </w:p>
    <w:p w:rsidR="00BE3806" w:rsidRPr="00BE3806" w:rsidRDefault="00BE3806" w:rsidP="00BE3806">
      <w:pPr>
        <w:spacing w:after="240" w:line="240" w:lineRule="auto"/>
        <w:rPr>
          <w:rFonts w:ascii="Times New Roman" w:eastAsia="Times New Roman" w:hAnsi="Times New Roman" w:cs="Times New Roman"/>
          <w:b/>
          <w:color w:val="24292E"/>
          <w:sz w:val="24"/>
          <w:szCs w:val="24"/>
        </w:rPr>
      </w:pPr>
      <w:r w:rsidRPr="00BE3806">
        <w:rPr>
          <w:rFonts w:ascii="Times New Roman" w:eastAsia="Times New Roman" w:hAnsi="Times New Roman" w:cs="Times New Roman"/>
          <w:b/>
          <w:color w:val="24292E"/>
          <w:sz w:val="24"/>
          <w:szCs w:val="24"/>
        </w:rPr>
        <w:t>Integrated Knowledge Management</w:t>
      </w:r>
    </w:p>
    <w:p w:rsidR="00BE3806" w:rsidRPr="00BE3806" w:rsidRDefault="00BE3806" w:rsidP="00BE3806">
      <w:pPr>
        <w:spacing w:after="240" w:line="240" w:lineRule="auto"/>
        <w:rPr>
          <w:rFonts w:ascii="Times New Roman" w:eastAsia="Times New Roman" w:hAnsi="Times New Roman" w:cs="Times New Roman"/>
          <w:color w:val="24292E"/>
          <w:sz w:val="24"/>
          <w:szCs w:val="24"/>
        </w:rPr>
      </w:pPr>
      <w:r w:rsidRPr="00BE3806">
        <w:rPr>
          <w:rFonts w:ascii="Times New Roman" w:eastAsia="Times New Roman" w:hAnsi="Times New Roman" w:cs="Times New Roman"/>
          <w:color w:val="24292E"/>
          <w:sz w:val="24"/>
          <w:szCs w:val="24"/>
        </w:rPr>
        <w:t xml:space="preserve">Khoury et al (2013) favor a knowledge integration approach to "drive research, policy and practice" (p. 14). According to the authors, "knowledge management is a continuous process of </w:t>
      </w:r>
      <w:r w:rsidRPr="00BE3806">
        <w:rPr>
          <w:rFonts w:ascii="Times New Roman" w:eastAsia="Times New Roman" w:hAnsi="Times New Roman" w:cs="Times New Roman"/>
          <w:color w:val="24292E"/>
          <w:sz w:val="24"/>
          <w:szCs w:val="24"/>
        </w:rPr>
        <w:lastRenderedPageBreak/>
        <w:t>identifying, selecting, storing, curating, and tracking relevant information across disciplines" (p. 15). This therefore entails the selection and curation of articles, systematic reviews, and meta-analysis.</w:t>
      </w:r>
    </w:p>
    <w:p w:rsidR="00BE3806" w:rsidRPr="00BE3806" w:rsidRDefault="00BE3806" w:rsidP="00BE3806">
      <w:pPr>
        <w:spacing w:after="240" w:line="240" w:lineRule="auto"/>
        <w:rPr>
          <w:rFonts w:ascii="Times New Roman" w:eastAsia="Times New Roman" w:hAnsi="Times New Roman" w:cs="Times New Roman"/>
          <w:color w:val="24292E"/>
          <w:sz w:val="24"/>
          <w:szCs w:val="24"/>
        </w:rPr>
      </w:pPr>
      <w:r w:rsidRPr="00BE3806">
        <w:rPr>
          <w:rFonts w:ascii="Times New Roman" w:eastAsia="Times New Roman" w:hAnsi="Times New Roman" w:cs="Times New Roman"/>
          <w:color w:val="24292E"/>
          <w:sz w:val="24"/>
          <w:szCs w:val="24"/>
        </w:rPr>
        <w:t>The fragmentation of public health datasets creates data silos which make it practically impossible to achieve a complete picture of either the individual or the population (Dickerson &amp; Yao, 2014, p. 90).</w:t>
      </w:r>
    </w:p>
    <w:p w:rsidR="00BE3806" w:rsidRPr="00BE3806" w:rsidRDefault="00BE3806" w:rsidP="00BE3806">
      <w:pPr>
        <w:spacing w:after="240" w:line="240" w:lineRule="auto"/>
        <w:rPr>
          <w:rFonts w:ascii="Times New Roman" w:eastAsia="Times New Roman" w:hAnsi="Times New Roman" w:cs="Times New Roman"/>
          <w:color w:val="24292E"/>
          <w:sz w:val="24"/>
          <w:szCs w:val="24"/>
        </w:rPr>
      </w:pPr>
      <w:r w:rsidRPr="00BE3806">
        <w:rPr>
          <w:rFonts w:ascii="Times New Roman" w:eastAsia="Times New Roman" w:hAnsi="Times New Roman" w:cs="Times New Roman"/>
          <w:color w:val="24292E"/>
          <w:sz w:val="24"/>
          <w:szCs w:val="24"/>
        </w:rPr>
        <w:t>In addition to curating datasets, a holistic big data research system ought to include information artifacts as well. These include full-text copies of research articles and collateral (grey) literature of specific interest to the lines of inquiry being pursued within a given university program. Indeed, pure research needs to be contextualized, especially in clinically-focused fields which rely so heavily on </w:t>
      </w:r>
      <w:r w:rsidRPr="00BE3806">
        <w:rPr>
          <w:rFonts w:ascii="Times New Roman" w:eastAsia="Times New Roman" w:hAnsi="Times New Roman" w:cs="Times New Roman"/>
          <w:i/>
          <w:iCs/>
          <w:color w:val="24292E"/>
          <w:sz w:val="24"/>
          <w:szCs w:val="24"/>
        </w:rPr>
        <w:t>actionable</w:t>
      </w:r>
      <w:r w:rsidRPr="00BE3806">
        <w:rPr>
          <w:rFonts w:ascii="Times New Roman" w:eastAsia="Times New Roman" w:hAnsi="Times New Roman" w:cs="Times New Roman"/>
          <w:color w:val="24292E"/>
          <w:sz w:val="24"/>
          <w:szCs w:val="24"/>
        </w:rPr>
        <w:t> information. Busy clinicians - whether physicians, nurses, or epidemiologists - need actionable insights, based on valid research findings, to share with patients and clients. Ideally, this information would be context-specific. A nurse practitioner in rural Appalachia, for example, will view the opioid crisis from a lens that differs significantly from a public health professional in an urban setting like Los Angeles.</w:t>
      </w:r>
    </w:p>
    <w:p w:rsidR="00BE3806" w:rsidRPr="00BE3806" w:rsidRDefault="00BE3806" w:rsidP="00BE3806">
      <w:pPr>
        <w:spacing w:after="240" w:line="240" w:lineRule="auto"/>
        <w:rPr>
          <w:rFonts w:ascii="Times New Roman" w:eastAsia="Times New Roman" w:hAnsi="Times New Roman" w:cs="Times New Roman"/>
          <w:b/>
          <w:color w:val="24292E"/>
          <w:sz w:val="24"/>
          <w:szCs w:val="24"/>
        </w:rPr>
      </w:pPr>
      <w:r w:rsidRPr="00BE3806">
        <w:rPr>
          <w:rFonts w:ascii="Times New Roman" w:eastAsia="Times New Roman" w:hAnsi="Times New Roman" w:cs="Times New Roman"/>
          <w:b/>
          <w:color w:val="24292E"/>
          <w:sz w:val="24"/>
          <w:szCs w:val="24"/>
        </w:rPr>
        <w:t>References</w:t>
      </w:r>
    </w:p>
    <w:p w:rsidR="00BE3806" w:rsidRPr="00BE3806" w:rsidRDefault="00BE3806" w:rsidP="00BE3806">
      <w:pPr>
        <w:spacing w:after="240" w:line="240" w:lineRule="auto"/>
        <w:rPr>
          <w:rFonts w:ascii="Times New Roman" w:eastAsia="Times New Roman" w:hAnsi="Times New Roman" w:cs="Times New Roman"/>
          <w:color w:val="24292E"/>
          <w:sz w:val="24"/>
          <w:szCs w:val="24"/>
        </w:rPr>
      </w:pPr>
      <w:r w:rsidRPr="00BE3806">
        <w:rPr>
          <w:rFonts w:ascii="Times New Roman" w:eastAsia="Times New Roman" w:hAnsi="Times New Roman" w:cs="Times New Roman"/>
          <w:color w:val="24292E"/>
          <w:sz w:val="24"/>
          <w:szCs w:val="24"/>
        </w:rPr>
        <w:t>Dickerson, D and Yao, P. (2014). In Magnuson, J.A. and Fu, P.C. (ed</w:t>
      </w:r>
      <w:bookmarkStart w:id="0" w:name="_GoBack"/>
      <w:bookmarkEnd w:id="0"/>
      <w:r w:rsidRPr="00BE3806">
        <w:rPr>
          <w:rFonts w:ascii="Times New Roman" w:eastAsia="Times New Roman" w:hAnsi="Times New Roman" w:cs="Times New Roman"/>
          <w:color w:val="24292E"/>
          <w:sz w:val="24"/>
          <w:szCs w:val="24"/>
        </w:rPr>
        <w:t xml:space="preserve">s) Public health informatics and information systems (2nd </w:t>
      </w:r>
      <w:proofErr w:type="gramStart"/>
      <w:r w:rsidRPr="00BE3806">
        <w:rPr>
          <w:rFonts w:ascii="Times New Roman" w:eastAsia="Times New Roman" w:hAnsi="Times New Roman" w:cs="Times New Roman"/>
          <w:color w:val="24292E"/>
          <w:sz w:val="24"/>
          <w:szCs w:val="24"/>
        </w:rPr>
        <w:t>ed</w:t>
      </w:r>
      <w:proofErr w:type="gramEnd"/>
      <w:r w:rsidRPr="00BE3806">
        <w:rPr>
          <w:rFonts w:ascii="Times New Roman" w:eastAsia="Times New Roman" w:hAnsi="Times New Roman" w:cs="Times New Roman"/>
          <w:color w:val="24292E"/>
          <w:sz w:val="24"/>
          <w:szCs w:val="24"/>
        </w:rPr>
        <w:t>.). New York, NY: Springer.</w:t>
      </w:r>
    </w:p>
    <w:p w:rsidR="00BE3806" w:rsidRPr="00BE3806" w:rsidRDefault="00BE3806" w:rsidP="00BE3806">
      <w:pPr>
        <w:spacing w:after="240" w:line="240" w:lineRule="auto"/>
        <w:rPr>
          <w:rFonts w:ascii="Times New Roman" w:eastAsia="Times New Roman" w:hAnsi="Times New Roman" w:cs="Times New Roman"/>
          <w:color w:val="24292E"/>
          <w:sz w:val="24"/>
          <w:szCs w:val="24"/>
        </w:rPr>
      </w:pPr>
      <w:r w:rsidRPr="00BE3806">
        <w:rPr>
          <w:rFonts w:ascii="Times New Roman" w:eastAsia="Times New Roman" w:hAnsi="Times New Roman" w:cs="Times New Roman"/>
          <w:color w:val="24292E"/>
          <w:sz w:val="24"/>
          <w:szCs w:val="24"/>
        </w:rPr>
        <w:t>Khoury, M. J., et al (2013). Transforming Epidemiology for 21st Century Medicine and Public Health. </w:t>
      </w:r>
      <w:r w:rsidRPr="00BE3806">
        <w:rPr>
          <w:rFonts w:ascii="Times New Roman" w:eastAsia="Times New Roman" w:hAnsi="Times New Roman" w:cs="Times New Roman"/>
          <w:i/>
          <w:iCs/>
          <w:color w:val="24292E"/>
          <w:sz w:val="24"/>
          <w:szCs w:val="24"/>
        </w:rPr>
        <w:t>Cancer Epidemiology, Biomarkers &amp; Prevention, 22</w:t>
      </w:r>
      <w:r w:rsidRPr="00BE3806">
        <w:rPr>
          <w:rFonts w:ascii="Times New Roman" w:eastAsia="Times New Roman" w:hAnsi="Times New Roman" w:cs="Times New Roman"/>
          <w:color w:val="24292E"/>
          <w:sz w:val="24"/>
          <w:szCs w:val="24"/>
        </w:rPr>
        <w:t xml:space="preserve">(4), 508–516. </w:t>
      </w:r>
      <w:proofErr w:type="gramStart"/>
      <w:r w:rsidRPr="00BE3806">
        <w:rPr>
          <w:rFonts w:ascii="Times New Roman" w:eastAsia="Times New Roman" w:hAnsi="Times New Roman" w:cs="Times New Roman"/>
          <w:color w:val="24292E"/>
          <w:sz w:val="24"/>
          <w:szCs w:val="24"/>
        </w:rPr>
        <w:t>doi</w:t>
      </w:r>
      <w:proofErr w:type="gramEnd"/>
      <w:r w:rsidRPr="00BE3806">
        <w:rPr>
          <w:rFonts w:ascii="Times New Roman" w:eastAsia="Times New Roman" w:hAnsi="Times New Roman" w:cs="Times New Roman"/>
          <w:color w:val="24292E"/>
          <w:sz w:val="24"/>
          <w:szCs w:val="24"/>
        </w:rPr>
        <w:t>: 10.1158/1055-9965.EPI-13-0146</w:t>
      </w:r>
    </w:p>
    <w:p w:rsidR="00BE3806" w:rsidRPr="00BE3806" w:rsidRDefault="00BE3806" w:rsidP="00BE3806">
      <w:pPr>
        <w:spacing w:after="240" w:line="240" w:lineRule="auto"/>
        <w:rPr>
          <w:rFonts w:ascii="Times New Roman" w:eastAsia="Times New Roman" w:hAnsi="Times New Roman" w:cs="Times New Roman"/>
          <w:color w:val="24292E"/>
          <w:sz w:val="24"/>
          <w:szCs w:val="24"/>
        </w:rPr>
      </w:pPr>
      <w:r w:rsidRPr="00BE3806">
        <w:rPr>
          <w:rFonts w:ascii="Times New Roman" w:eastAsia="Times New Roman" w:hAnsi="Times New Roman" w:cs="Times New Roman"/>
          <w:color w:val="24292E"/>
          <w:sz w:val="24"/>
          <w:szCs w:val="24"/>
        </w:rPr>
        <w:t>Khoury, M. J., Iademarco, M. F., and Riley, W. T. (2016). Precision public health for the era of precision medicine. </w:t>
      </w:r>
      <w:r w:rsidRPr="00BE3806">
        <w:rPr>
          <w:rFonts w:ascii="Times New Roman" w:eastAsia="Times New Roman" w:hAnsi="Times New Roman" w:cs="Times New Roman"/>
          <w:i/>
          <w:iCs/>
          <w:color w:val="24292E"/>
          <w:sz w:val="24"/>
          <w:szCs w:val="24"/>
        </w:rPr>
        <w:t>American Journal of Preventive Medicine, 50</w:t>
      </w:r>
      <w:r w:rsidRPr="00BE3806">
        <w:rPr>
          <w:rFonts w:ascii="Times New Roman" w:eastAsia="Times New Roman" w:hAnsi="Times New Roman" w:cs="Times New Roman"/>
          <w:color w:val="24292E"/>
          <w:sz w:val="24"/>
          <w:szCs w:val="24"/>
        </w:rPr>
        <w:t xml:space="preserve">(3), 398-401. </w:t>
      </w:r>
      <w:proofErr w:type="gramStart"/>
      <w:r w:rsidRPr="00BE3806">
        <w:rPr>
          <w:rFonts w:ascii="Times New Roman" w:eastAsia="Times New Roman" w:hAnsi="Times New Roman" w:cs="Times New Roman"/>
          <w:color w:val="24292E"/>
          <w:sz w:val="24"/>
          <w:szCs w:val="24"/>
        </w:rPr>
        <w:t>doi</w:t>
      </w:r>
      <w:proofErr w:type="gramEnd"/>
      <w:r w:rsidRPr="00BE3806">
        <w:rPr>
          <w:rFonts w:ascii="Times New Roman" w:eastAsia="Times New Roman" w:hAnsi="Times New Roman" w:cs="Times New Roman"/>
          <w:color w:val="24292E"/>
          <w:sz w:val="24"/>
          <w:szCs w:val="24"/>
        </w:rPr>
        <w:t>: 10.1016/j.amepre.2015.08.31</w:t>
      </w:r>
    </w:p>
    <w:p w:rsidR="00BE3806" w:rsidRPr="00BE3806" w:rsidRDefault="00BE3806" w:rsidP="00BE3806">
      <w:pPr>
        <w:spacing w:after="240" w:line="240" w:lineRule="auto"/>
        <w:rPr>
          <w:rFonts w:ascii="Times New Roman" w:eastAsia="Times New Roman" w:hAnsi="Times New Roman" w:cs="Times New Roman"/>
          <w:color w:val="24292E"/>
          <w:sz w:val="24"/>
          <w:szCs w:val="24"/>
        </w:rPr>
      </w:pPr>
      <w:r w:rsidRPr="00BE3806">
        <w:rPr>
          <w:rFonts w:ascii="Times New Roman" w:eastAsia="Times New Roman" w:hAnsi="Times New Roman" w:cs="Times New Roman"/>
          <w:color w:val="24292E"/>
          <w:sz w:val="24"/>
          <w:szCs w:val="24"/>
        </w:rPr>
        <w:t>Khoury, M.J. and Ioannidis, J.P.A. (2014). Big data meets public health. </w:t>
      </w:r>
      <w:r w:rsidRPr="00BE3806">
        <w:rPr>
          <w:rFonts w:ascii="Times New Roman" w:eastAsia="Times New Roman" w:hAnsi="Times New Roman" w:cs="Times New Roman"/>
          <w:i/>
          <w:iCs/>
          <w:color w:val="24292E"/>
          <w:sz w:val="24"/>
          <w:szCs w:val="24"/>
        </w:rPr>
        <w:t>Science, 346</w:t>
      </w:r>
      <w:r w:rsidRPr="00BE3806">
        <w:rPr>
          <w:rFonts w:ascii="Times New Roman" w:eastAsia="Times New Roman" w:hAnsi="Times New Roman" w:cs="Times New Roman"/>
          <w:color w:val="24292E"/>
          <w:sz w:val="24"/>
          <w:szCs w:val="24"/>
        </w:rPr>
        <w:t>(6213), 1054-1055.</w:t>
      </w:r>
    </w:p>
    <w:p w:rsidR="00BE3806" w:rsidRPr="00BE3806" w:rsidRDefault="00BE3806" w:rsidP="00BE3806">
      <w:pPr>
        <w:spacing w:after="240" w:line="240" w:lineRule="auto"/>
        <w:rPr>
          <w:rFonts w:ascii="Times New Roman" w:eastAsia="Times New Roman" w:hAnsi="Times New Roman" w:cs="Times New Roman"/>
          <w:color w:val="24292E"/>
          <w:sz w:val="24"/>
          <w:szCs w:val="24"/>
        </w:rPr>
      </w:pPr>
      <w:r w:rsidRPr="00BE3806">
        <w:rPr>
          <w:rFonts w:ascii="Times New Roman" w:eastAsia="Times New Roman" w:hAnsi="Times New Roman" w:cs="Times New Roman"/>
          <w:color w:val="24292E"/>
          <w:sz w:val="24"/>
          <w:szCs w:val="24"/>
        </w:rPr>
        <w:t>Ola, O. and Sedig, K. (2014). The challenge of big data in public health: An opportunity for visual analytics. </w:t>
      </w:r>
      <w:r w:rsidRPr="00BE3806">
        <w:rPr>
          <w:rFonts w:ascii="Times New Roman" w:eastAsia="Times New Roman" w:hAnsi="Times New Roman" w:cs="Times New Roman"/>
          <w:i/>
          <w:iCs/>
          <w:color w:val="24292E"/>
          <w:sz w:val="24"/>
          <w:szCs w:val="24"/>
        </w:rPr>
        <w:t>Online Journal of Public Health Informatics 5</w:t>
      </w:r>
      <w:r w:rsidRPr="00BE3806">
        <w:rPr>
          <w:rFonts w:ascii="Times New Roman" w:eastAsia="Times New Roman" w:hAnsi="Times New Roman" w:cs="Times New Roman"/>
          <w:color w:val="24292E"/>
          <w:sz w:val="24"/>
          <w:szCs w:val="24"/>
        </w:rPr>
        <w:t>(3):e223.</w:t>
      </w:r>
    </w:p>
    <w:p w:rsidR="00C601EF" w:rsidRDefault="00C601EF"/>
    <w:p w:rsidR="00755831" w:rsidRDefault="00755831">
      <w:r>
        <w:rPr>
          <w:noProof/>
        </w:rPr>
        <w:lastRenderedPageBreak/>
        <w:drawing>
          <wp:inline distT="0" distB="0" distL="0" distR="0">
            <wp:extent cx="5513705" cy="822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ecision_health_system.jpg"/>
                    <pic:cNvPicPr/>
                  </pic:nvPicPr>
                  <pic:blipFill>
                    <a:blip r:embed="rId4">
                      <a:extLst>
                        <a:ext uri="{28A0092B-C50C-407E-A947-70E740481C1C}">
                          <a14:useLocalDpi xmlns:a14="http://schemas.microsoft.com/office/drawing/2010/main" val="0"/>
                        </a:ext>
                      </a:extLst>
                    </a:blip>
                    <a:stretch>
                      <a:fillRect/>
                    </a:stretch>
                  </pic:blipFill>
                  <pic:spPr>
                    <a:xfrm>
                      <a:off x="0" y="0"/>
                      <a:ext cx="5513705" cy="8229600"/>
                    </a:xfrm>
                    <a:prstGeom prst="rect">
                      <a:avLst/>
                    </a:prstGeom>
                  </pic:spPr>
                </pic:pic>
              </a:graphicData>
            </a:graphic>
          </wp:inline>
        </w:drawing>
      </w:r>
    </w:p>
    <w:sectPr w:rsidR="007558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443"/>
    <w:rsid w:val="00187443"/>
    <w:rsid w:val="00755831"/>
    <w:rsid w:val="00BE3806"/>
    <w:rsid w:val="00C601EF"/>
    <w:rsid w:val="00F22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98E145-0080-437F-9CD6-95F45E133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E38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E380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E380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E3806"/>
    <w:rPr>
      <w:i/>
      <w:iCs/>
    </w:rPr>
  </w:style>
  <w:style w:type="character" w:styleId="Strong">
    <w:name w:val="Strong"/>
    <w:basedOn w:val="DefaultParagraphFont"/>
    <w:uiPriority w:val="22"/>
    <w:qFormat/>
    <w:rsid w:val="00BE38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741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1318</Words>
  <Characters>7516</Characters>
  <Application>Microsoft Office Word</Application>
  <DocSecurity>0</DocSecurity>
  <Lines>62</Lines>
  <Paragraphs>17</Paragraphs>
  <ScaleCrop>false</ScaleCrop>
  <Company/>
  <LinksUpToDate>false</LinksUpToDate>
  <CharactersWithSpaces>8817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Maxwell,Daniel</dc:creator>
  <cp:keywords/>
  <dc:description/>
  <cp:lastModifiedBy>Maxwell,Daniel</cp:lastModifiedBy>
  <cp:revision>5</cp:revision>
  <dcterms:created xsi:type="dcterms:W3CDTF">2018-10-10T19:29:00Z</dcterms:created>
  <dcterms:modified xsi:type="dcterms:W3CDTF">2018-11-07T20:27:00Z</dcterms:modified>
</cp:coreProperties>
</file>