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678" w:rsidRDefault="00787198">
      <w:pPr>
        <w:pStyle w:val="H2"/>
      </w:pPr>
      <w:bookmarkStart w:id="0" w:name="_GoBack"/>
      <w:bookmarkEnd w:id="0"/>
      <w:r>
        <w:t>Post Course Survey - Managing Responsibilities as a Clinical Research Professional</w:t>
      </w:r>
    </w:p>
    <w:p w:rsidR="004D1678" w:rsidRDefault="004D1678"/>
    <w:p w:rsidR="004D1678" w:rsidRDefault="004D1678">
      <w:pPr>
        <w:pStyle w:val="BlockSeparator"/>
      </w:pPr>
    </w:p>
    <w:p w:rsidR="004D1678" w:rsidRDefault="00787198">
      <w:pPr>
        <w:pStyle w:val="BlockStartLabel"/>
      </w:pPr>
      <w:r>
        <w:t>Start of Block: ID</w:t>
      </w:r>
    </w:p>
    <w:p w:rsidR="004D1678" w:rsidRDefault="004D1678">
      <w:pPr>
        <w:pStyle w:val="BlockSeparator"/>
      </w:pPr>
    </w:p>
    <w:p w:rsidR="004D1678" w:rsidRDefault="00787198">
      <w:pPr>
        <w:pStyle w:val="BlockStartLabel"/>
      </w:pPr>
      <w:r>
        <w:t>Start of Block: Training Modules Evaluation</w:t>
      </w:r>
    </w:p>
    <w:p w:rsidR="004D1678" w:rsidRDefault="004D1678"/>
    <w:p w:rsidR="004D1678" w:rsidRDefault="00787198">
      <w:pPr>
        <w:keepNext/>
      </w:pPr>
      <w:r>
        <w:t xml:space="preserve"> Thank you for participating in the recent training program on Clinical Research Coordination (CRC). Please provide your input  on how we can move forward on improving CRC training.</w:t>
      </w:r>
    </w:p>
    <w:p w:rsidR="004D1678" w:rsidRDefault="004D1678"/>
    <w:p w:rsidR="004D1678" w:rsidRDefault="004D1678">
      <w:pPr>
        <w:pStyle w:val="QuestionSeparator"/>
      </w:pPr>
    </w:p>
    <w:p w:rsidR="004D1678" w:rsidRDefault="004D1678"/>
    <w:p w:rsidR="004D1678" w:rsidRDefault="00787198">
      <w:pPr>
        <w:keepNext/>
      </w:pPr>
      <w:r>
        <w:lastRenderedPageBreak/>
        <w:t>Q1 How satisfied are you: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96"/>
        <w:gridCol w:w="1856"/>
        <w:gridCol w:w="1856"/>
        <w:gridCol w:w="1876"/>
        <w:gridCol w:w="1876"/>
      </w:tblGrid>
      <w:tr w:rsidR="004D1678" w:rsidTr="004D1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D1678" w:rsidRDefault="004D1678">
            <w:pPr>
              <w:keepNext/>
            </w:pPr>
          </w:p>
        </w:tc>
        <w:tc>
          <w:tcPr>
            <w:tcW w:w="1915" w:type="dxa"/>
          </w:tcPr>
          <w:p w:rsidR="004D1678" w:rsidRDefault="00787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Satisfied (1)</w:t>
            </w:r>
          </w:p>
        </w:tc>
        <w:tc>
          <w:tcPr>
            <w:tcW w:w="1915" w:type="dxa"/>
          </w:tcPr>
          <w:p w:rsidR="004D1678" w:rsidRDefault="00787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Satisfied (2)</w:t>
            </w:r>
          </w:p>
        </w:tc>
        <w:tc>
          <w:tcPr>
            <w:tcW w:w="1915" w:type="dxa"/>
          </w:tcPr>
          <w:p w:rsidR="004D1678" w:rsidRDefault="00787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Dissatisfie</w:t>
            </w:r>
            <w:r>
              <w:t>d (3)</w:t>
            </w:r>
          </w:p>
        </w:tc>
        <w:tc>
          <w:tcPr>
            <w:tcW w:w="1915" w:type="dxa"/>
          </w:tcPr>
          <w:p w:rsidR="004D1678" w:rsidRDefault="00787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Dissatisfied (4)</w:t>
            </w: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D1678" w:rsidRDefault="00787198">
            <w:pPr>
              <w:keepNext/>
            </w:pPr>
            <w:r>
              <w:t xml:space="preserve">With the quality of the overall training program? (1) </w:t>
            </w: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D1678" w:rsidRDefault="00787198">
            <w:pPr>
              <w:keepNext/>
            </w:pPr>
            <w:r>
              <w:t xml:space="preserve">With the scope of information presented? (2) </w:t>
            </w: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D1678" w:rsidRDefault="00787198">
            <w:pPr>
              <w:keepNext/>
            </w:pPr>
            <w:r>
              <w:t xml:space="preserve">With the usefulness of the information? (3) </w:t>
            </w: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D1678" w:rsidRDefault="00787198">
            <w:pPr>
              <w:keepNext/>
            </w:pPr>
            <w:r>
              <w:t xml:space="preserve">With the quality of the presentations in the general sessions? (4) </w:t>
            </w: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D1678" w:rsidRDefault="00787198">
            <w:pPr>
              <w:keepNext/>
            </w:pPr>
            <w:r>
              <w:t xml:space="preserve">With the overall program  format emphasis on training? (5) </w:t>
            </w: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D1678" w:rsidRDefault="00787198">
            <w:pPr>
              <w:keepNext/>
            </w:pPr>
            <w:r>
              <w:t xml:space="preserve">That you had sufficient time to network and share ideas with your peers? (6) </w:t>
            </w: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D1678" w:rsidRDefault="00787198">
            <w:pPr>
              <w:keepNext/>
            </w:pPr>
            <w:r>
              <w:t xml:space="preserve">With the amount of time dedicated to training? (7) </w:t>
            </w: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D1678" w:rsidRDefault="00787198">
            <w:pPr>
              <w:keepNext/>
            </w:pPr>
            <w:r>
              <w:t xml:space="preserve">With the training's overall value in helping you improve your professional effectiveness? (8) </w:t>
            </w: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D1678" w:rsidRDefault="00787198">
            <w:pPr>
              <w:keepNext/>
            </w:pPr>
            <w:r>
              <w:t xml:space="preserve">That the meeting was a motivational experience for you? (9) </w:t>
            </w: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D1678" w:rsidRDefault="004D1678"/>
    <w:p w:rsidR="004D1678" w:rsidRDefault="004D1678"/>
    <w:p w:rsidR="004D1678" w:rsidRDefault="004D1678">
      <w:pPr>
        <w:pStyle w:val="QuestionSeparator"/>
      </w:pPr>
    </w:p>
    <w:p w:rsidR="004D1678" w:rsidRDefault="004D1678"/>
    <w:p w:rsidR="004D1678" w:rsidRDefault="00787198">
      <w:pPr>
        <w:keepNext/>
      </w:pPr>
      <w:r>
        <w:t>Q2 How satisfied are you: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08"/>
        <w:gridCol w:w="1855"/>
        <w:gridCol w:w="1855"/>
        <w:gridCol w:w="1875"/>
        <w:gridCol w:w="1867"/>
      </w:tblGrid>
      <w:tr w:rsidR="004D1678" w:rsidTr="004D1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D1678" w:rsidRDefault="004D1678">
            <w:pPr>
              <w:keepNext/>
            </w:pPr>
          </w:p>
        </w:tc>
        <w:tc>
          <w:tcPr>
            <w:tcW w:w="1915" w:type="dxa"/>
          </w:tcPr>
          <w:p w:rsidR="004D1678" w:rsidRDefault="00787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Satisfied (1)</w:t>
            </w:r>
          </w:p>
        </w:tc>
        <w:tc>
          <w:tcPr>
            <w:tcW w:w="1915" w:type="dxa"/>
          </w:tcPr>
          <w:p w:rsidR="004D1678" w:rsidRDefault="00787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Satisfied (2)</w:t>
            </w:r>
          </w:p>
        </w:tc>
        <w:tc>
          <w:tcPr>
            <w:tcW w:w="1915" w:type="dxa"/>
          </w:tcPr>
          <w:p w:rsidR="004D1678" w:rsidRDefault="00787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Dissatisfied (3)</w:t>
            </w:r>
          </w:p>
        </w:tc>
        <w:tc>
          <w:tcPr>
            <w:tcW w:w="1915" w:type="dxa"/>
          </w:tcPr>
          <w:p w:rsidR="004D1678" w:rsidRDefault="00787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Disatisfied (4)</w:t>
            </w: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D1678" w:rsidRDefault="00787198">
            <w:pPr>
              <w:keepNext/>
            </w:pPr>
            <w:r>
              <w:t xml:space="preserve">With the appropriateness of courses to your needs? (1) </w:t>
            </w: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D1678" w:rsidRDefault="00787198">
            <w:pPr>
              <w:keepNext/>
            </w:pPr>
            <w:r>
              <w:t xml:space="preserve">That training personnel are sufficiently knowledgeable and professional? (3) </w:t>
            </w: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D1678" w:rsidRDefault="00787198">
            <w:pPr>
              <w:keepNext/>
            </w:pPr>
            <w:r>
              <w:t xml:space="preserve">With the quality of training classroom materials? (4) </w:t>
            </w: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D1678" w:rsidRDefault="00787198">
            <w:pPr>
              <w:keepNext/>
            </w:pPr>
            <w:r>
              <w:t xml:space="preserve">With the quality of on line training  materials? (5) </w:t>
            </w: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4D1678" w:rsidRDefault="00787198">
            <w:pPr>
              <w:keepNext/>
            </w:pPr>
            <w:r>
              <w:t xml:space="preserve">With the combined  training courses overall? (6) </w:t>
            </w: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D1678" w:rsidRDefault="004D1678"/>
    <w:p w:rsidR="004D1678" w:rsidRDefault="004D1678"/>
    <w:p w:rsidR="004D1678" w:rsidRDefault="004D1678">
      <w:pPr>
        <w:pStyle w:val="QuestionSeparator"/>
      </w:pPr>
    </w:p>
    <w:p w:rsidR="004D1678" w:rsidRDefault="004D1678"/>
    <w:p w:rsidR="004D1678" w:rsidRDefault="00787198">
      <w:pPr>
        <w:keepNext/>
      </w:pPr>
      <w:r>
        <w:t>Q3 Please tell us what needs to be done to establish a standardized training program for Clinical Research Professionals. ?</w:t>
      </w:r>
    </w:p>
    <w:p w:rsidR="004D1678" w:rsidRDefault="00787198">
      <w:pPr>
        <w:pStyle w:val="TextEntryLine"/>
        <w:ind w:firstLine="400"/>
      </w:pPr>
      <w:r>
        <w:t>________________________________________________________________</w:t>
      </w:r>
    </w:p>
    <w:p w:rsidR="004D1678" w:rsidRDefault="00787198">
      <w:pPr>
        <w:pStyle w:val="TextEntryLine"/>
        <w:ind w:firstLine="400"/>
      </w:pPr>
      <w:r>
        <w:t>________________________________________________________________</w:t>
      </w:r>
    </w:p>
    <w:p w:rsidR="004D1678" w:rsidRDefault="00787198">
      <w:pPr>
        <w:pStyle w:val="TextEntryLine"/>
        <w:ind w:firstLine="400"/>
      </w:pPr>
      <w:r>
        <w:t>__</w:t>
      </w:r>
      <w:r>
        <w:t>______________________________________________________________</w:t>
      </w:r>
    </w:p>
    <w:p w:rsidR="004D1678" w:rsidRDefault="00787198">
      <w:pPr>
        <w:pStyle w:val="TextEntryLine"/>
        <w:ind w:firstLine="400"/>
      </w:pPr>
      <w:r>
        <w:t>________________________________________________________________</w:t>
      </w:r>
    </w:p>
    <w:p w:rsidR="004D1678" w:rsidRDefault="00787198">
      <w:pPr>
        <w:pStyle w:val="TextEntryLine"/>
        <w:ind w:firstLine="400"/>
      </w:pPr>
      <w:r>
        <w:t>________________________________________________________________</w:t>
      </w:r>
    </w:p>
    <w:p w:rsidR="004D1678" w:rsidRDefault="004D1678"/>
    <w:p w:rsidR="004D1678" w:rsidRDefault="004D1678">
      <w:pPr>
        <w:pStyle w:val="QuestionSeparator"/>
      </w:pPr>
    </w:p>
    <w:p w:rsidR="004D1678" w:rsidRDefault="004D1678"/>
    <w:p w:rsidR="004D1678" w:rsidRDefault="00787198">
      <w:pPr>
        <w:keepNext/>
      </w:pPr>
      <w:r>
        <w:lastRenderedPageBreak/>
        <w:t>Q4 This Training program  understands the educational needs of Clinical Research Professionals.</w:t>
      </w:r>
    </w:p>
    <w:p w:rsidR="004D1678" w:rsidRDefault="00787198">
      <w:pPr>
        <w:pStyle w:val="ListParagraph"/>
        <w:keepNext/>
        <w:numPr>
          <w:ilvl w:val="0"/>
          <w:numId w:val="4"/>
        </w:numPr>
      </w:pPr>
      <w:r>
        <w:t xml:space="preserve">Strongly Agree  (1) </w:t>
      </w:r>
    </w:p>
    <w:p w:rsidR="004D1678" w:rsidRDefault="00787198">
      <w:pPr>
        <w:pStyle w:val="ListParagraph"/>
        <w:keepNext/>
        <w:numPr>
          <w:ilvl w:val="0"/>
          <w:numId w:val="4"/>
        </w:numPr>
      </w:pPr>
      <w:r>
        <w:t xml:space="preserve">Agree  (2) </w:t>
      </w:r>
    </w:p>
    <w:p w:rsidR="004D1678" w:rsidRDefault="00787198">
      <w:pPr>
        <w:pStyle w:val="ListParagraph"/>
        <w:keepNext/>
        <w:numPr>
          <w:ilvl w:val="0"/>
          <w:numId w:val="4"/>
        </w:numPr>
      </w:pPr>
      <w:r>
        <w:t xml:space="preserve">Disagree  (6) </w:t>
      </w:r>
    </w:p>
    <w:p w:rsidR="004D1678" w:rsidRDefault="00787198">
      <w:pPr>
        <w:pStyle w:val="ListParagraph"/>
        <w:keepNext/>
        <w:numPr>
          <w:ilvl w:val="0"/>
          <w:numId w:val="4"/>
        </w:numPr>
      </w:pPr>
      <w:r>
        <w:t xml:space="preserve">Strongly disagree  (7) </w:t>
      </w:r>
    </w:p>
    <w:p w:rsidR="004D1678" w:rsidRDefault="004D1678"/>
    <w:p w:rsidR="004D1678" w:rsidRDefault="004D1678">
      <w:pPr>
        <w:pStyle w:val="QuestionSeparator"/>
      </w:pPr>
    </w:p>
    <w:p w:rsidR="004D1678" w:rsidRDefault="004D1678"/>
    <w:p w:rsidR="004D1678" w:rsidRDefault="00787198">
      <w:pPr>
        <w:keepNext/>
      </w:pPr>
      <w:r>
        <w:t>Q5 Would you recommend this Training to colleagues who want to develop professionally</w:t>
      </w:r>
      <w:r>
        <w:t xml:space="preserve"> as a research professional ? </w:t>
      </w:r>
    </w:p>
    <w:p w:rsidR="004D1678" w:rsidRDefault="00787198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4D1678" w:rsidRDefault="00787198">
      <w:pPr>
        <w:pStyle w:val="ListParagraph"/>
        <w:keepNext/>
        <w:numPr>
          <w:ilvl w:val="0"/>
          <w:numId w:val="4"/>
        </w:numPr>
      </w:pPr>
      <w:r>
        <w:t xml:space="preserve">No  (3) </w:t>
      </w:r>
    </w:p>
    <w:p w:rsidR="004D1678" w:rsidRDefault="00787198">
      <w:pPr>
        <w:pStyle w:val="ListParagraph"/>
        <w:keepNext/>
        <w:numPr>
          <w:ilvl w:val="0"/>
          <w:numId w:val="4"/>
        </w:numPr>
      </w:pPr>
      <w:r>
        <w:t>Comment  (2) ________________________________________________</w:t>
      </w:r>
    </w:p>
    <w:p w:rsidR="004D1678" w:rsidRDefault="004D1678"/>
    <w:p w:rsidR="004D1678" w:rsidRDefault="004D1678">
      <w:pPr>
        <w:pStyle w:val="QuestionSeparator"/>
      </w:pPr>
    </w:p>
    <w:p w:rsidR="004D1678" w:rsidRDefault="004D1678"/>
    <w:p w:rsidR="004D1678" w:rsidRDefault="00787198">
      <w:pPr>
        <w:keepNext/>
      </w:pPr>
      <w:r>
        <w:t>Q6 Thinking about this training how would you evaluate  its usefulness for establishment of a standardized curriculum for Research Profession</w:t>
      </w:r>
      <w:r>
        <w:t>als.</w:t>
      </w:r>
      <w:r>
        <w:br/>
      </w:r>
      <w:r>
        <w:br/>
        <w:t>   *Adapted from Spangenberg, E. R., K. E.  Voss and A. E. Crowley (1997) "Measuring the Hedonic and Utilitarian Dimensions of Attitude: A Generally Applicable Scale." In M. Brucks and D. MacInnis (Eds.), Advances in Consumer Research (Vol 24, pp. 23</w:t>
      </w:r>
      <w:r>
        <w:t>5 - 241). Provo, UT: Association for Consumer Research.</w:t>
      </w:r>
    </w:p>
    <w:tbl>
      <w:tblPr>
        <w:tblStyle w:val="QQuestionTableBipolar"/>
        <w:tblW w:w="9576" w:type="auto"/>
        <w:tblLook w:val="07E0" w:firstRow="1" w:lastRow="1" w:firstColumn="1" w:lastColumn="1" w:noHBand="1" w:noVBand="1"/>
      </w:tblPr>
      <w:tblGrid>
        <w:gridCol w:w="1528"/>
        <w:gridCol w:w="971"/>
        <w:gridCol w:w="971"/>
        <w:gridCol w:w="970"/>
        <w:gridCol w:w="970"/>
        <w:gridCol w:w="970"/>
        <w:gridCol w:w="970"/>
        <w:gridCol w:w="970"/>
        <w:gridCol w:w="1270"/>
      </w:tblGrid>
      <w:tr w:rsidR="004D1678" w:rsidTr="004D1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4D1678">
            <w:pPr>
              <w:keepNext/>
            </w:pPr>
          </w:p>
        </w:tc>
        <w:tc>
          <w:tcPr>
            <w:tcW w:w="1064" w:type="dxa"/>
          </w:tcPr>
          <w:p w:rsidR="004D1678" w:rsidRDefault="0078719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(1)</w:t>
            </w:r>
          </w:p>
        </w:tc>
        <w:tc>
          <w:tcPr>
            <w:tcW w:w="1064" w:type="dxa"/>
          </w:tcPr>
          <w:p w:rsidR="004D1678" w:rsidRDefault="0078719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064" w:type="dxa"/>
          </w:tcPr>
          <w:p w:rsidR="004D1678" w:rsidRDefault="0078719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064" w:type="dxa"/>
          </w:tcPr>
          <w:p w:rsidR="004D1678" w:rsidRDefault="0078719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064" w:type="dxa"/>
          </w:tcPr>
          <w:p w:rsidR="004D1678" w:rsidRDefault="0078719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064" w:type="dxa"/>
          </w:tcPr>
          <w:p w:rsidR="004D1678" w:rsidRDefault="0078719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1064" w:type="dxa"/>
          </w:tcPr>
          <w:p w:rsidR="004D1678" w:rsidRDefault="0078719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(7)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4D1678">
            <w:pPr>
              <w:keepNext/>
            </w:pP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Useless</w:t>
            </w: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Useful</w:t>
            </w: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Impractical</w:t>
            </w: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Practical</w:t>
            </w: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Unnecessary</w:t>
            </w: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Necessary</w:t>
            </w: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Not Functional</w:t>
            </w: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Functional</w:t>
            </w: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Not Sensible</w:t>
            </w: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Sensible</w:t>
            </w: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Unhelpful</w:t>
            </w: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Helpful</w:t>
            </w: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Inefficient</w:t>
            </w: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Efficient</w:t>
            </w: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Harmful</w:t>
            </w: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Beneficial</w:t>
            </w: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No Handy</w:t>
            </w: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Handy</w:t>
            </w: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Unproductive</w:t>
            </w: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Productive</w:t>
            </w: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Not Problem Solving</w:t>
            </w: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Problem Solving</w:t>
            </w:r>
          </w:p>
        </w:tc>
      </w:tr>
      <w:tr w:rsidR="004D1678" w:rsidTr="004D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Ineffective</w:t>
            </w: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4D1678" w:rsidRDefault="004D167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64" w:type="dxa"/>
          </w:tcPr>
          <w:p w:rsidR="004D1678" w:rsidRDefault="00787198">
            <w:pPr>
              <w:keepNext/>
            </w:pPr>
            <w:r>
              <w:t>Effective</w:t>
            </w:r>
          </w:p>
        </w:tc>
      </w:tr>
    </w:tbl>
    <w:p w:rsidR="004D1678" w:rsidRDefault="004D1678"/>
    <w:p w:rsidR="004D1678" w:rsidRDefault="004D1678"/>
    <w:p w:rsidR="004D1678" w:rsidRDefault="004D1678">
      <w:pPr>
        <w:pStyle w:val="QuestionSeparator"/>
      </w:pPr>
    </w:p>
    <w:p w:rsidR="004D1678" w:rsidRDefault="004D1678"/>
    <w:p w:rsidR="004D1678" w:rsidRDefault="00787198">
      <w:pPr>
        <w:keepNext/>
      </w:pPr>
      <w:r>
        <w:t>Q7 Please rate the courses you participated in order of importance to you</w:t>
      </w:r>
      <w:r>
        <w:br/>
        <w:t xml:space="preserve"> </w:t>
      </w:r>
      <w:r>
        <w:br/>
        <w:t xml:space="preserve"> </w:t>
      </w:r>
      <w:r>
        <w:rPr>
          <w:b/>
        </w:rPr>
        <w:t>(Grab and Drag each course to the level of your rank assessment)</w:t>
      </w:r>
    </w:p>
    <w:p w:rsidR="004D1678" w:rsidRDefault="00787198">
      <w:pPr>
        <w:pStyle w:val="ListParagraph"/>
        <w:keepNext/>
        <w:ind w:left="0"/>
      </w:pPr>
      <w:r>
        <w:t>______ Planning Research (Online CITI) (3)</w:t>
      </w:r>
    </w:p>
    <w:p w:rsidR="004D1678" w:rsidRDefault="00787198">
      <w:pPr>
        <w:pStyle w:val="ListParagraph"/>
        <w:keepNext/>
        <w:ind w:left="0"/>
      </w:pPr>
      <w:r>
        <w:t>______ Funding, Financial Management and Budgeting (Online CITI) (2)</w:t>
      </w:r>
    </w:p>
    <w:p w:rsidR="004D1678" w:rsidRDefault="00787198">
      <w:pPr>
        <w:pStyle w:val="ListParagraph"/>
        <w:keepNext/>
        <w:ind w:left="0"/>
      </w:pPr>
      <w:r>
        <w:t>__</w:t>
      </w:r>
      <w:r>
        <w:t>____ Working with the Institutional Review Board (Online CITI) (8)</w:t>
      </w:r>
    </w:p>
    <w:p w:rsidR="004D1678" w:rsidRDefault="00787198">
      <w:pPr>
        <w:pStyle w:val="ListParagraph"/>
        <w:keepNext/>
        <w:ind w:left="0"/>
      </w:pPr>
      <w:r>
        <w:t>______ Protocol Review and Approvals (Online CITI) (9)</w:t>
      </w:r>
    </w:p>
    <w:p w:rsidR="004D1678" w:rsidRDefault="00787198">
      <w:pPr>
        <w:pStyle w:val="ListParagraph"/>
        <w:keepNext/>
        <w:ind w:left="0"/>
      </w:pPr>
      <w:r>
        <w:t>______ Principal Investigator (PI) Responsibilities(Online CITI) (10)</w:t>
      </w:r>
    </w:p>
    <w:p w:rsidR="004D1678" w:rsidRDefault="00787198">
      <w:pPr>
        <w:pStyle w:val="ListParagraph"/>
        <w:keepNext/>
        <w:ind w:left="0"/>
      </w:pPr>
      <w:r>
        <w:t>______ Clinical Research Coordinator  (CRC) Responsibility (Online CITI) (11)</w:t>
      </w:r>
    </w:p>
    <w:p w:rsidR="004D1678" w:rsidRDefault="00787198">
      <w:pPr>
        <w:pStyle w:val="ListParagraph"/>
        <w:keepNext/>
        <w:ind w:left="0"/>
      </w:pPr>
      <w:r>
        <w:t>______ Sponsor Responsibility (Online CITI) (12)</w:t>
      </w:r>
    </w:p>
    <w:p w:rsidR="004D1678" w:rsidRDefault="00787198">
      <w:pPr>
        <w:pStyle w:val="ListParagraph"/>
        <w:keepNext/>
        <w:ind w:left="0"/>
      </w:pPr>
      <w:r>
        <w:t>______ Informed Consent(Online CITI) (13)</w:t>
      </w:r>
    </w:p>
    <w:p w:rsidR="004D1678" w:rsidRDefault="00787198">
      <w:pPr>
        <w:pStyle w:val="ListParagraph"/>
        <w:keepNext/>
        <w:ind w:left="0"/>
      </w:pPr>
      <w:r>
        <w:t>______ Site Management, Quality Assurance and Public Information (Online CITI) (14)</w:t>
      </w:r>
    </w:p>
    <w:p w:rsidR="004D1678" w:rsidRDefault="00787198">
      <w:pPr>
        <w:pStyle w:val="ListParagraph"/>
        <w:keepNext/>
        <w:ind w:left="0"/>
      </w:pPr>
      <w:r>
        <w:t>___</w:t>
      </w:r>
      <w:r>
        <w:t>___ CRC Resources (Online CITI) (15)</w:t>
      </w:r>
    </w:p>
    <w:p w:rsidR="004D1678" w:rsidRDefault="00787198">
      <w:pPr>
        <w:pStyle w:val="ListParagraph"/>
        <w:keepNext/>
        <w:ind w:left="0"/>
      </w:pPr>
      <w:r>
        <w:t>______ Site Management, Quality Assurance and Public Information (ACRP) (29)</w:t>
      </w:r>
    </w:p>
    <w:p w:rsidR="004D1678" w:rsidRDefault="00787198">
      <w:pPr>
        <w:pStyle w:val="ListParagraph"/>
        <w:keepNext/>
        <w:ind w:left="0"/>
      </w:pPr>
      <w:r>
        <w:t>______ Understanding Clinical Trial Protocols and Effective Development and Feasibility Review (ACRP) (30)</w:t>
      </w:r>
    </w:p>
    <w:p w:rsidR="004D1678" w:rsidRDefault="00787198">
      <w:pPr>
        <w:pStyle w:val="ListParagraph"/>
        <w:keepNext/>
        <w:ind w:left="0"/>
      </w:pPr>
      <w:r>
        <w:t>______ Operationalization of Clinic</w:t>
      </w:r>
      <w:r>
        <w:t>al Study Protocols (ACRP) (31)</w:t>
      </w:r>
    </w:p>
    <w:p w:rsidR="004D1678" w:rsidRDefault="00787198">
      <w:pPr>
        <w:pStyle w:val="ListParagraph"/>
        <w:keepNext/>
        <w:ind w:left="0"/>
      </w:pPr>
      <w:r>
        <w:t>______ The Drug Development Process: (ACRP) (32)</w:t>
      </w:r>
    </w:p>
    <w:p w:rsidR="004D1678" w:rsidRDefault="00787198">
      <w:pPr>
        <w:pStyle w:val="ListParagraph"/>
        <w:keepNext/>
        <w:ind w:left="0"/>
      </w:pPr>
      <w:r>
        <w:t>______ Quality Control through Risk-Based Decision Making (ACRP) (33)</w:t>
      </w:r>
    </w:p>
    <w:p w:rsidR="004D1678" w:rsidRDefault="00787198">
      <w:pPr>
        <w:pStyle w:val="ListParagraph"/>
        <w:keepNext/>
        <w:ind w:left="0"/>
      </w:pPr>
      <w:r>
        <w:t>______ Site Quality Management Tools: SOPs, Metrics, and Training (ACRP) (34)</w:t>
      </w:r>
    </w:p>
    <w:p w:rsidR="004D1678" w:rsidRDefault="00787198">
      <w:pPr>
        <w:pStyle w:val="ListParagraph"/>
        <w:keepNext/>
        <w:ind w:left="0"/>
      </w:pPr>
      <w:r>
        <w:t>______ Building Quality Mana</w:t>
      </w:r>
      <w:r>
        <w:t>gement Systems for Sites and Sponsors: Root Cause and CAPA (ACRP) (35)</w:t>
      </w:r>
    </w:p>
    <w:p w:rsidR="004D1678" w:rsidRDefault="00787198">
      <w:pPr>
        <w:pStyle w:val="ListParagraph"/>
        <w:keepNext/>
        <w:ind w:left="0"/>
      </w:pPr>
      <w:r>
        <w:t>______ Mastering the Event Reporting Cycle: Understanding Their Impact on Patient Safety (ACRP) (36)</w:t>
      </w:r>
    </w:p>
    <w:p w:rsidR="004D1678" w:rsidRDefault="00787198">
      <w:pPr>
        <w:pStyle w:val="ListParagraph"/>
        <w:keepNext/>
        <w:ind w:left="0"/>
      </w:pPr>
      <w:r>
        <w:t>______ Risk-Based Monitoring: The Essentials for CRCs (ACRP) (37)</w:t>
      </w:r>
    </w:p>
    <w:p w:rsidR="004D1678" w:rsidRDefault="00787198">
      <w:pPr>
        <w:pStyle w:val="ListParagraph"/>
        <w:keepNext/>
        <w:ind w:left="0"/>
      </w:pPr>
      <w:r>
        <w:t xml:space="preserve">______ Inspection </w:t>
      </w:r>
      <w:r>
        <w:t>Readiness: Best Practices for Managing Clinical Trial Inspections (ACRP) (38)</w:t>
      </w:r>
    </w:p>
    <w:p w:rsidR="004D1678" w:rsidRDefault="00787198">
      <w:pPr>
        <w:pStyle w:val="ListParagraph"/>
        <w:keepNext/>
        <w:ind w:left="0"/>
      </w:pPr>
      <w:r>
        <w:t>______ Form 1572: Get It Right the First Time (ACRP) (39)</w:t>
      </w:r>
    </w:p>
    <w:p w:rsidR="004D1678" w:rsidRDefault="00787198">
      <w:pPr>
        <w:pStyle w:val="ListParagraph"/>
        <w:keepNext/>
        <w:ind w:left="0"/>
      </w:pPr>
      <w:r>
        <w:t>______ Ethics: Identifying Potential Pitfalls in Human Subject Protection (ACRP) (40)</w:t>
      </w:r>
    </w:p>
    <w:p w:rsidR="004D1678" w:rsidRDefault="00787198">
      <w:pPr>
        <w:pStyle w:val="ListParagraph"/>
        <w:keepNext/>
        <w:ind w:left="0"/>
      </w:pPr>
      <w:r>
        <w:t>______ ICH Guidances (ACRP) (41)</w:t>
      </w:r>
    </w:p>
    <w:p w:rsidR="004D1678" w:rsidRDefault="004D1678"/>
    <w:p w:rsidR="004D1678" w:rsidRDefault="004D1678">
      <w:pPr>
        <w:pStyle w:val="QuestionSeparator"/>
      </w:pPr>
    </w:p>
    <w:p w:rsidR="004D1678" w:rsidRDefault="004D1678"/>
    <w:p w:rsidR="004D1678" w:rsidRDefault="00787198">
      <w:pPr>
        <w:keepNext/>
      </w:pPr>
      <w:r>
        <w:t>Q8 Do you believe the Training  presentation provided has value for _experienced_ clinical research support staff?</w:t>
      </w:r>
    </w:p>
    <w:p w:rsidR="004D1678" w:rsidRDefault="00787198">
      <w:pPr>
        <w:pStyle w:val="ListParagraph"/>
        <w:keepNext/>
        <w:numPr>
          <w:ilvl w:val="0"/>
          <w:numId w:val="4"/>
        </w:numPr>
      </w:pPr>
      <w:r>
        <w:t xml:space="preserve">Yes  (2) </w:t>
      </w:r>
    </w:p>
    <w:p w:rsidR="004D1678" w:rsidRDefault="00787198">
      <w:pPr>
        <w:pStyle w:val="ListParagraph"/>
        <w:keepNext/>
        <w:numPr>
          <w:ilvl w:val="0"/>
          <w:numId w:val="4"/>
        </w:numPr>
      </w:pPr>
      <w:r>
        <w:t xml:space="preserve">No  (3) </w:t>
      </w:r>
    </w:p>
    <w:p w:rsidR="004D1678" w:rsidRDefault="00787198">
      <w:pPr>
        <w:pStyle w:val="ListParagraph"/>
        <w:keepNext/>
        <w:numPr>
          <w:ilvl w:val="0"/>
          <w:numId w:val="4"/>
        </w:numPr>
      </w:pPr>
      <w:r>
        <w:t>Describe  (1) ________________________________________________</w:t>
      </w:r>
    </w:p>
    <w:p w:rsidR="004D1678" w:rsidRDefault="004D1678"/>
    <w:p w:rsidR="004D1678" w:rsidRDefault="00787198">
      <w:pPr>
        <w:pStyle w:val="BlockEndLabel"/>
      </w:pPr>
      <w:r>
        <w:t>End of Block: Training Modules Evaluation</w:t>
      </w:r>
    </w:p>
    <w:p w:rsidR="004D1678" w:rsidRDefault="004D1678">
      <w:pPr>
        <w:pStyle w:val="BlockSeparator"/>
      </w:pPr>
    </w:p>
    <w:p w:rsidR="004D1678" w:rsidRDefault="00787198">
      <w:pPr>
        <w:pStyle w:val="BlockStartLabel"/>
      </w:pPr>
      <w:r>
        <w:t xml:space="preserve">Start of </w:t>
      </w:r>
      <w:r>
        <w:t>Block: Research Coordinator Basic Course Knowledge Assessment-Single Answer-Select One</w:t>
      </w:r>
    </w:p>
    <w:p w:rsidR="004D1678" w:rsidRDefault="004D1678">
      <w:pPr>
        <w:pStyle w:val="BlockSeparator"/>
      </w:pPr>
    </w:p>
    <w:p w:rsidR="004D1678" w:rsidRDefault="004D1678"/>
    <w:sectPr w:rsidR="004D1678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87198">
      <w:pPr>
        <w:spacing w:line="240" w:lineRule="auto"/>
      </w:pPr>
      <w:r>
        <w:separator/>
      </w:r>
    </w:p>
  </w:endnote>
  <w:endnote w:type="continuationSeparator" w:id="0">
    <w:p w:rsidR="00000000" w:rsidRDefault="00787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01B" w:rsidRDefault="00787198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:rsidR="00EB001B" w:rsidRDefault="00787198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01B" w:rsidRDefault="00787198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>NUMPAG</w:instrText>
    </w:r>
    <w:r>
      <w:rPr>
        <w:rStyle w:val="PageNumber"/>
      </w:rPr>
      <w:instrText xml:space="preserve">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EB001B" w:rsidRDefault="00787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87198">
      <w:pPr>
        <w:spacing w:line="240" w:lineRule="auto"/>
      </w:pPr>
      <w:r>
        <w:separator/>
      </w:r>
    </w:p>
  </w:footnote>
  <w:footnote w:type="continuationSeparator" w:id="0">
    <w:p w:rsidR="00000000" w:rsidRDefault="007871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8719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15"/>
    <w:rsid w:val="004D1678"/>
    <w:rsid w:val="00787198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FA8720-E8DE-4C11-ABBE-1988EA70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778</Words>
  <Characters>4440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 Course Survey - Managing Responsibilities as a Clinical Research Professional</vt:lpstr>
    </vt:vector>
  </TitlesOfParts>
  <Company>Qualtrics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Course Survey - Managing Responsibilities as a Clinical Research Professional</dc:title>
  <dc:subject/>
  <dc:creator>Qualtrics</dc:creator>
  <cp:keywords/>
  <dc:description/>
  <cp:lastModifiedBy>Kolb,H. Robert</cp:lastModifiedBy>
  <cp:revision>2</cp:revision>
  <dcterms:created xsi:type="dcterms:W3CDTF">2019-07-03T15:48:00Z</dcterms:created>
  <dcterms:modified xsi:type="dcterms:W3CDTF">2019-07-03T15:48:00Z</dcterms:modified>
</cp:coreProperties>
</file>