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C366E"/>
          <w:sz w:val="48"/>
        </w:rPr>
        <w:t>Access Control Standard</w:t>
      </w:r>
    </w:p>
    <w:p>
      <w:pPr>
        <w:jc w:val="left"/>
      </w:pPr>
      <w:r>
        <w:rPr>
          <w:i/>
          <w:color w:val="5A6270"/>
          <w:sz w:val="22"/>
        </w:rPr>
        <w:t>Version 1.8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04"/>
        <w:gridCol w:w="6768"/>
      </w:tblGrid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6ECF8"/>
          </w:tcPr>
          <w:p>
            <w:r>
              <w:rPr>
                <w:b/>
                <w:color w:val="1C366E"/>
                <w:sz w:val="19"/>
              </w:rPr>
              <w:t>Document Owner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Director, Identity &amp; Access Management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6ECF8"/>
          </w:tcPr>
          <w:p>
            <w:r>
              <w:rPr>
                <w:b/>
                <w:color w:val="1C366E"/>
                <w:sz w:val="19"/>
              </w:rPr>
              <w:t>Effective Date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January 15, 2026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6ECF8"/>
          </w:tcPr>
          <w:p>
            <w:r>
              <w:rPr>
                <w:b/>
                <w:color w:val="1C366E"/>
                <w:sz w:val="19"/>
              </w:rPr>
              <w:t>Next Review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January 15, 2027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6ECF8"/>
          </w:tcPr>
          <w:p>
            <w:r>
              <w:rPr>
                <w:b/>
                <w:color w:val="1C366E"/>
                <w:sz w:val="19"/>
              </w:rPr>
              <w:t>Classification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6ECF8"/>
          </w:tcPr>
          <w:p>
            <w:r>
              <w:rPr>
                <w:b/>
                <w:color w:val="1C366E"/>
                <w:sz w:val="19"/>
              </w:rPr>
              <w:t>Applicability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All employees, contractors, and approved third parties</w:t>
            </w:r>
          </w:p>
        </w:tc>
      </w:tr>
    </w:tbl>
    <w:p/>
    <w:p>
      <w:r>
        <w:rPr>
          <w:b/>
          <w:color w:val="1C366E"/>
          <w:sz w:val="22"/>
        </w:rPr>
        <w:t>Purpose</w:t>
      </w:r>
    </w:p>
    <w:p>
      <w:pPr>
        <w:spacing w:after="160"/>
      </w:pPr>
      <w:r>
        <w:t>Establish consistent requirements for logical access, least privilege, authentication, review, and privileged account management across production and internal systems.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4F7F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i/>
                <w:color w:val="5A6270"/>
                <w:sz w:val="18"/>
              </w:rPr>
              <w:t>Synthetic dataset notice: This document is fictional and created for testing retrieval, grounding, and citation behavior in a security questionnaire MVP.</w:t>
            </w:r>
          </w:p>
        </w:tc>
      </w:tr>
    </w:tbl>
    <w:p/>
    <w:p>
      <w:pPr>
        <w:pStyle w:val="Heading1"/>
      </w:pPr>
      <w:r>
        <w:t>1. Access Model</w:t>
      </w:r>
    </w:p>
    <w:p>
      <w:pPr>
        <w:spacing w:after="100" w:line="269" w:lineRule="auto"/>
      </w:pPr>
      <w:r>
        <w:t>System access must follow the principle of least privilege and be granted according to job responsibilities, data sensitivity, and operational need.</w:t>
      </w:r>
    </w:p>
    <w:p>
      <w:pPr>
        <w:spacing w:after="100" w:line="269" w:lineRule="auto"/>
      </w:pPr>
      <w:r>
        <w:t>Role-based access control is the default design pattern for business applications and cloud platforms. Direct user-to-permission assignment should be minimized and documented where unavoidable.</w:t>
      </w:r>
    </w:p>
    <w:p>
      <w:pPr>
        <w:spacing w:after="100" w:line="269" w:lineRule="auto"/>
      </w:pPr>
      <w:r>
        <w:t>Shared accounts are prohibited except for technically constrained service contexts approved by Security and managed with compensating controls.</w:t>
      </w:r>
    </w:p>
    <w:p>
      <w:pPr>
        <w:pStyle w:val="Heading1"/>
      </w:pPr>
      <w:r>
        <w:t>2. Provisioning and Approval</w:t>
      </w:r>
    </w:p>
    <w:p>
      <w:pPr>
        <w:spacing w:after="100" w:line="269" w:lineRule="auto"/>
      </w:pPr>
      <w:r>
        <w:t>New access requests must be submitted through the IT service desk or approved identity workflow and must include manager approval before fulfillment.</w:t>
      </w:r>
    </w:p>
    <w:p>
      <w:pPr>
        <w:spacing w:after="100" w:line="269" w:lineRule="auto"/>
      </w:pPr>
      <w:r>
        <w:t>Access to production systems, finance platforms, HR data, customer data, or administrative functions requires a second-level approver from the system owner or delegated control owner.</w:t>
      </w:r>
    </w:p>
    <w:p>
      <w:pPr>
        <w:spacing w:after="100" w:line="269" w:lineRule="auto"/>
      </w:pPr>
      <w:r>
        <w:t>Service accounts must have a named owner, documented purpose, restricted privileges, and credential rotation aligned to the secrets management standard.</w:t>
      </w:r>
    </w:p>
    <w:p>
      <w:pPr>
        <w:pStyle w:val="Heading1"/>
      </w:pPr>
      <w:r>
        <w:t>3. Authentication and Session Controls</w:t>
      </w:r>
    </w:p>
    <w:p>
      <w:pPr>
        <w:spacing w:after="100" w:line="269" w:lineRule="auto"/>
      </w:pPr>
      <w:r>
        <w:t>Multi-factor authentication is required for remote access, privileged access, cloud administration consoles, VPN, and all externally exposed business applications that support workforce or customer access.</w:t>
      </w:r>
    </w:p>
    <w:p>
      <w:pPr>
        <w:spacing w:after="100" w:line="269" w:lineRule="auto"/>
      </w:pPr>
      <w:r>
        <w:t>Passwords must meet the company password standard or be replaced by phishing-resistant authentication methods where available.</w:t>
      </w:r>
    </w:p>
    <w:p>
      <w:pPr>
        <w:spacing w:after="100" w:line="269" w:lineRule="auto"/>
      </w:pPr>
      <w:r>
        <w:t>Interactive sessions on sensitive systems must time out after a period of inactivity defined by system risk and business need.</w:t>
      </w:r>
    </w:p>
    <w:p>
      <w:pPr>
        <w:pStyle w:val="ListBullet"/>
        <w:spacing w:after="60"/>
      </w:pPr>
      <w:r>
        <w:t>Privileged administrator sessions must use MFA and unique named accounts.</w:t>
      </w:r>
    </w:p>
    <w:p>
      <w:pPr>
        <w:pStyle w:val="ListBullet"/>
        <w:spacing w:after="60"/>
      </w:pPr>
      <w:r>
        <w:t>Default vendor passwords must be changed before a system is placed into service.</w:t>
      </w:r>
    </w:p>
    <w:p>
      <w:pPr>
        <w:pStyle w:val="ListBullet"/>
        <w:spacing w:after="60"/>
      </w:pPr>
      <w:r>
        <w:t>Break-glass accounts must be tightly limited, monitored, and reviewed after each use.</w:t>
      </w:r>
    </w:p>
    <w:p>
      <w:pPr>
        <w:pStyle w:val="Heading1"/>
      </w:pPr>
      <w:r>
        <w:t>4. Reviews and Revocation</w:t>
      </w:r>
    </w:p>
    <w:p>
      <w:pPr>
        <w:spacing w:after="100" w:line="269" w:lineRule="auto"/>
      </w:pPr>
      <w:r>
        <w:t>User access reviews are performed at least quarterly for production systems and at least semiannually for other in-scope internal systems.</w:t>
      </w:r>
    </w:p>
    <w:p>
      <w:pPr>
        <w:spacing w:after="100" w:line="269" w:lineRule="auto"/>
      </w:pPr>
      <w:r>
        <w:t>System owners must certify user access lists, remove unnecessary entitlements, and document any temporary access that remains open past its original approval window.</w:t>
      </w:r>
    </w:p>
    <w:p>
      <w:pPr>
        <w:spacing w:after="100" w:line="269" w:lineRule="auto"/>
      </w:pPr>
      <w:r>
        <w:t>Access is revoked promptly upon termination, role change, contract end, or when business need no longer exists.</w:t>
      </w:r>
    </w:p>
    <w:p>
      <w:pPr>
        <w:pStyle w:val="Heading2"/>
      </w:pPr>
      <w:r>
        <w:t>Key Control Statements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shd w:fill="1C366E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Control ID</w:t>
            </w:r>
          </w:p>
        </w:tc>
        <w:tc>
          <w:tcPr>
            <w:tcW w:type="dxa" w:w="2880"/>
            <w:shd w:fill="1C366E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Theme</w:t>
            </w:r>
          </w:p>
        </w:tc>
        <w:tc>
          <w:tcPr>
            <w:tcW w:type="dxa" w:w="4608"/>
            <w:shd w:fill="1C366E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Requirement Summary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D"/>
          </w:tcPr>
          <w:p>
            <w:pPr>
              <w:jc w:val="center"/>
            </w:pPr>
            <w:r>
              <w:rPr>
                <w:b/>
                <w:color w:val="1C366E"/>
                <w:sz w:val="18"/>
              </w:rPr>
              <w:t>ACS-01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Access is granted based on job function and approved business need, using RBAC wherever feasible.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D"/>
          </w:tcPr>
          <w:p>
            <w:pPr>
              <w:jc w:val="center"/>
            </w:pPr>
            <w:r>
              <w:rPr>
                <w:b/>
                <w:color w:val="1C366E"/>
                <w:sz w:val="18"/>
              </w:rPr>
              <w:t>ACS-02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Approval workflow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Provisioning requires documented manager approval and elevated approval for sensitive or production access.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D"/>
          </w:tcPr>
          <w:p>
            <w:pPr>
              <w:jc w:val="center"/>
            </w:pPr>
            <w:r>
              <w:rPr>
                <w:b/>
                <w:color w:val="1C366E"/>
                <w:sz w:val="18"/>
              </w:rPr>
              <w:t>ACS-03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MFA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Multi-factor authentication is enforced for remote access, privileged access, and other high-risk systems.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D"/>
          </w:tcPr>
          <w:p>
            <w:pPr>
              <w:jc w:val="center"/>
            </w:pPr>
            <w:r>
              <w:rPr>
                <w:b/>
                <w:color w:val="1C366E"/>
                <w:sz w:val="18"/>
              </w:rPr>
              <w:t>ACS-04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Access reviews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Production access is reviewed quarterly and unnecessary privileges are removed.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D"/>
          </w:tcPr>
          <w:p>
            <w:pPr>
              <w:jc w:val="center"/>
            </w:pPr>
            <w:r>
              <w:rPr>
                <w:b/>
                <w:color w:val="1C366E"/>
                <w:sz w:val="18"/>
              </w:rPr>
              <w:t>ACS-05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Revocation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Access is removed promptly when employment, assignment, or business need ends.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270"/>
        <w:sz w:val="16"/>
      </w:rPr>
      <w:t xml:space="preserve">Synthetic policy pack for MVP testing |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270"/>
        <w:sz w:val="16"/>
      </w:rPr>
      <w:t>Northstar Health Analytics, Inc.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C36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C36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C3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C36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