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C366E"/>
          <w:sz w:val="48"/>
        </w:rPr>
        <w:t>Identity and User Lifecycle Management Policy</w:t>
      </w:r>
    </w:p>
    <w:p>
      <w:pPr>
        <w:jc w:val="left"/>
      </w:pPr>
      <w:r>
        <w:rPr>
          <w:i/>
          <w:color w:val="5A6270"/>
          <w:sz w:val="22"/>
        </w:rPr>
        <w:t>Version 1.4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6768"/>
      </w:tblGrid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Document Owner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Senior Manager, IT Operations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Effective Date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January 15, 2026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Next Review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January 15, 2027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Classification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Applicability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All employees, contractors, and approved third parties</w:t>
            </w:r>
          </w:p>
        </w:tc>
      </w:tr>
    </w:tbl>
    <w:p/>
    <w:p>
      <w:r>
        <w:rPr>
          <w:b/>
          <w:color w:val="1C366E"/>
          <w:sz w:val="22"/>
        </w:rPr>
        <w:t>Purpose</w:t>
      </w:r>
    </w:p>
    <w:p>
      <w:pPr>
        <w:spacing w:after="160"/>
      </w:pPr>
      <w:r>
        <w:t>Define onboarding, transfers, offboarding, and privileged-access lifecycle requirements so workforce identities remain accurate, approved, and timely throughout employment.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7F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i/>
                <w:color w:val="5A6270"/>
                <w:sz w:val="18"/>
              </w:rPr>
              <w:t>Synthetic dataset notice: This document is fictional and created for testing retrieval, grounding, and citation behavior in a security questionnaire MVP.</w:t>
            </w:r>
          </w:p>
        </w:tc>
      </w:tr>
    </w:tbl>
    <w:p/>
    <w:p>
      <w:pPr>
        <w:pStyle w:val="Heading1"/>
      </w:pPr>
      <w:r>
        <w:t>1. Joiner Process</w:t>
      </w:r>
    </w:p>
    <w:p>
      <w:pPr>
        <w:spacing w:after="100" w:line="269" w:lineRule="auto"/>
      </w:pPr>
      <w:r>
        <w:t>New workforce identities are created only after Human Resources has confirmed the start date and the hiring manager has approved the access profile.</w:t>
      </w:r>
    </w:p>
    <w:p>
      <w:pPr>
        <w:spacing w:after="100" w:line="269" w:lineRule="auto"/>
      </w:pPr>
      <w:r>
        <w:t>Standard access bundles are assigned based on role templates maintained by IT and reviewed with business owners at least annually.</w:t>
      </w:r>
    </w:p>
    <w:p>
      <w:pPr>
        <w:spacing w:after="100" w:line="269" w:lineRule="auto"/>
      </w:pPr>
      <w:r>
        <w:t>Temporary workers and contractors must have an end date recorded at the time of account creation.</w:t>
      </w:r>
    </w:p>
    <w:p>
      <w:pPr>
        <w:pStyle w:val="Heading1"/>
      </w:pPr>
      <w:r>
        <w:t>2. Mover Process</w:t>
      </w:r>
    </w:p>
    <w:p>
      <w:pPr>
        <w:spacing w:after="100" w:line="269" w:lineRule="auto"/>
      </w:pPr>
      <w:r>
        <w:t>When a worker changes role, department, or reporting structure, managers are responsible for requesting access changes within one business day of the effective change.</w:t>
      </w:r>
    </w:p>
    <w:p>
      <w:pPr>
        <w:spacing w:after="100" w:line="269" w:lineRule="auto"/>
      </w:pPr>
      <w:r>
        <w:t>Legacy access that is no longer required must be removed as part of the transfer workflow and may not be retained solely for convenience.</w:t>
      </w:r>
    </w:p>
    <w:p>
      <w:pPr>
        <w:spacing w:after="100" w:line="269" w:lineRule="auto"/>
      </w:pPr>
      <w:r>
        <w:t>Sensitive role changes, including finance, HR, engineering administration, and security operations, require an elevated review for toxic combinations of duties.</w:t>
      </w:r>
    </w:p>
    <w:p>
      <w:pPr>
        <w:pStyle w:val="Heading1"/>
      </w:pPr>
      <w:r>
        <w:t>3. Leaver Process</w:t>
      </w:r>
    </w:p>
    <w:p>
      <w:pPr>
        <w:spacing w:after="100" w:line="269" w:lineRule="auto"/>
      </w:pPr>
      <w:r>
        <w:t>Termination notices from HR trigger automated offboarding workflows for corporate identity providers, email, collaboration tools, VPN, and other critical systems integrated with the directory service.</w:t>
      </w:r>
    </w:p>
    <w:p>
      <w:pPr>
        <w:spacing w:after="100" w:line="269" w:lineRule="auto"/>
      </w:pPr>
      <w:r>
        <w:t>Standard user access should be disabled immediately upon separation and no later than the end of the worker’s final day.</w:t>
      </w:r>
    </w:p>
    <w:p>
      <w:pPr>
        <w:spacing w:after="100" w:line="269" w:lineRule="auto"/>
      </w:pPr>
      <w:r>
        <w:t>Privileged access associated with administrators, cloud operators, database administrators, or security tools must be revoked within one hour of termination notice when feasible, and always the same business day.</w:t>
      </w:r>
    </w:p>
    <w:p>
      <w:pPr>
        <w:pStyle w:val="ListBullet"/>
        <w:spacing w:after="60"/>
      </w:pPr>
      <w:r>
        <w:t>Manager-owned local accounts on standalone systems must be reviewed during offboarding when automation is not available.</w:t>
      </w:r>
    </w:p>
    <w:p>
      <w:pPr>
        <w:pStyle w:val="ListBullet"/>
        <w:spacing w:after="60"/>
      </w:pPr>
      <w:r>
        <w:t>Company devices must be returned or remotely locked and wiped according to endpoint management procedures.</w:t>
      </w:r>
    </w:p>
    <w:p>
      <w:pPr>
        <w:pStyle w:val="ListBullet"/>
        <w:spacing w:after="60"/>
      </w:pPr>
      <w:r>
        <w:t>Forwarding of company email to personal addresses is prohibited during or after offboarding.</w:t>
      </w:r>
    </w:p>
    <w:p>
      <w:pPr>
        <w:pStyle w:val="Heading1"/>
      </w:pPr>
      <w:r>
        <w:t>4. Monitoring and Evidence</w:t>
      </w:r>
    </w:p>
    <w:p>
      <w:pPr>
        <w:spacing w:after="100" w:line="269" w:lineRule="auto"/>
      </w:pPr>
      <w:r>
        <w:t>IT Operations retains workflow records for provisioning, modification, and deprovisioning activities to support audit requests and internal investigations.</w:t>
      </w:r>
    </w:p>
    <w:p>
      <w:pPr>
        <w:spacing w:after="100" w:line="269" w:lineRule="auto"/>
      </w:pPr>
      <w:r>
        <w:t>Monthly control checks verify that terminated users do not retain active access in critical applications.</w:t>
      </w:r>
    </w:p>
    <w:p>
      <w:pPr>
        <w:pStyle w:val="Heading2"/>
      </w:pPr>
      <w:r>
        <w:t>Key Control Statements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1C366E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 ID</w:t>
            </w:r>
          </w:p>
        </w:tc>
        <w:tc>
          <w:tcPr>
            <w:tcW w:type="dxa" w:w="2880"/>
            <w:shd w:fill="1C366E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4608"/>
            <w:shd w:fill="1C366E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 Summary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IUL-01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Accounts are created only after HR confirmation and manager-approved role assignment.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IUL-02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Transfers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Role changes trigger entitlement updates and removal of obsolete access.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IUL-03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Offboarding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Standard access is disabled immediately upon separation or by end of final day.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IUL-04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Privileged removal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Privileged access is revoked within one hour when feasible and always the same business day.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IUL-05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Evidence retention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Provisioning and offboarding workflow records are retained for audit support.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70"/>
        <w:sz w:val="16"/>
      </w:rPr>
      <w:t xml:space="preserve">Synthetic policy pack for MVP testing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270"/>
        <w:sz w:val="16"/>
      </w:rPr>
      <w:t>Northstar Health Analytics, Inc.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C3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C3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C3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C36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