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C366E"/>
          <w:sz w:val="48"/>
        </w:rPr>
        <w:t>Incident Response Plan</w:t>
      </w:r>
    </w:p>
    <w:p>
      <w:pPr>
        <w:jc w:val="left"/>
      </w:pPr>
      <w:r>
        <w:rPr>
          <w:i/>
          <w:color w:val="5A6270"/>
          <w:sz w:val="22"/>
        </w:rPr>
        <w:t>Version 1.7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6768"/>
      </w:tblGrid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Document Owner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Manager, Security Operations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Effective Date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January 15, 2026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Next Review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January 15, 2027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Classification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6ECF8"/>
          </w:tcPr>
          <w:p>
            <w:r>
              <w:rPr>
                <w:b/>
                <w:color w:val="1C366E"/>
                <w:sz w:val="19"/>
              </w:rPr>
              <w:t>Applicability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All employees, contractors, and approved third parties</w:t>
            </w:r>
          </w:p>
        </w:tc>
      </w:tr>
    </w:tbl>
    <w:p/>
    <w:p>
      <w:r>
        <w:rPr>
          <w:b/>
          <w:color w:val="1C366E"/>
          <w:sz w:val="22"/>
        </w:rPr>
        <w:t>Purpose</w:t>
      </w:r>
    </w:p>
    <w:p>
      <w:pPr>
        <w:spacing w:after="160"/>
      </w:pPr>
      <w:r>
        <w:t>Provide a repeatable process for preparation, detection, triage, containment, eradication, recovery, communication, and post-incident learning for security events affecting company or customer data.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7F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i/>
                <w:color w:val="5A6270"/>
                <w:sz w:val="18"/>
              </w:rPr>
              <w:t>Synthetic dataset notice: This document is fictional and created for testing retrieval, grounding, and citation behavior in a security questionnaire MVP.</w:t>
            </w:r>
          </w:p>
        </w:tc>
      </w:tr>
    </w:tbl>
    <w:p/>
    <w:p>
      <w:pPr>
        <w:pStyle w:val="Heading1"/>
      </w:pPr>
      <w:r>
        <w:t>1. Preparation</w:t>
      </w:r>
    </w:p>
    <w:p>
      <w:pPr>
        <w:spacing w:after="100" w:line="269" w:lineRule="auto"/>
      </w:pPr>
      <w:r>
        <w:t>The Security Operations team maintains incident runbooks for common scenarios including phishing, malware, account compromise, suspicious cloud activity, endpoint loss, and unauthorized data disclosure.</w:t>
      </w:r>
    </w:p>
    <w:p>
      <w:pPr>
        <w:spacing w:after="100" w:line="269" w:lineRule="auto"/>
      </w:pPr>
      <w:r>
        <w:t>Contact lists for executives, legal, privacy, human resources, IT, and third-party responders are maintained and validated at least quarterly.</w:t>
      </w:r>
    </w:p>
    <w:p>
      <w:pPr>
        <w:spacing w:after="100" w:line="269" w:lineRule="auto"/>
      </w:pPr>
      <w:r>
        <w:t>Relevant logs from identity systems, endpoints, cloud infrastructure, VPN, and critical business platforms are centralized for monitoring and investigation.</w:t>
      </w:r>
    </w:p>
    <w:p>
      <w:pPr>
        <w:pStyle w:val="Heading1"/>
      </w:pPr>
      <w:r>
        <w:t>2. Triage and Severity Classification</w:t>
      </w:r>
    </w:p>
    <w:p>
      <w:pPr>
        <w:spacing w:after="100" w:line="269" w:lineRule="auto"/>
      </w:pPr>
      <w:r>
        <w:t>Security events are assessed for business impact, data sensitivity, affected users, operational disruption, and likelihood of ongoing compromise.</w:t>
      </w:r>
    </w:p>
    <w:p>
      <w:pPr>
        <w:spacing w:after="100" w:line="269" w:lineRule="auto"/>
      </w:pPr>
      <w:r>
        <w:t>Incidents are classified from Severity 1 to Severity 4, with Severity 1 reserved for confirmed or highly probable events involving critical systems, material business disruption, ransomware, or unauthorized access to sensitive data.</w:t>
      </w:r>
    </w:p>
    <w:p>
      <w:pPr>
        <w:pStyle w:val="ListBullet"/>
        <w:spacing w:after="60"/>
      </w:pPr>
      <w:r>
        <w:t>Severity 1 incidents require immediate engagement of the incident commander and executive notification as defined by the communications matrix.</w:t>
      </w:r>
    </w:p>
    <w:p>
      <w:pPr>
        <w:pStyle w:val="ListBullet"/>
        <w:spacing w:after="60"/>
      </w:pPr>
      <w:r>
        <w:t>Severity 2 incidents require same-day containment planning and documented leadership awareness.</w:t>
      </w:r>
    </w:p>
    <w:p>
      <w:pPr>
        <w:pStyle w:val="ListBullet"/>
        <w:spacing w:after="60"/>
      </w:pPr>
      <w:r>
        <w:t>All incidents require a case record with timeline notes, evidence references, and decisions made.</w:t>
      </w:r>
    </w:p>
    <w:p>
      <w:pPr>
        <w:pStyle w:val="Heading1"/>
      </w:pPr>
      <w:r>
        <w:t>3. Containment, Eradication, and Recovery</w:t>
      </w:r>
    </w:p>
    <w:p>
      <w:pPr>
        <w:spacing w:after="100" w:line="269" w:lineRule="auto"/>
      </w:pPr>
      <w:r>
        <w:t>Potentially compromised accounts may be disabled, sessions revoked, tokens invalidated, and credentials rotated as part of containment.</w:t>
      </w:r>
    </w:p>
    <w:p>
      <w:pPr>
        <w:spacing w:after="100" w:line="269" w:lineRule="auto"/>
      </w:pPr>
      <w:r>
        <w:t>Compromised devices may be isolated from the network. Recovery actions must verify that malicious persistence is removed and that systems are restored from trusted states where needed.</w:t>
      </w:r>
    </w:p>
    <w:p>
      <w:pPr>
        <w:spacing w:after="100" w:line="269" w:lineRule="auto"/>
      </w:pPr>
      <w:r>
        <w:t>Business owners must approve return-to-service for critical applications after Security confirms containment and risk is understood.</w:t>
      </w:r>
    </w:p>
    <w:p>
      <w:pPr>
        <w:pStyle w:val="Heading1"/>
      </w:pPr>
      <w:r>
        <w:t>4. Notification and Lessons Learned</w:t>
      </w:r>
    </w:p>
    <w:p>
      <w:pPr>
        <w:spacing w:after="100" w:line="269" w:lineRule="auto"/>
      </w:pPr>
      <w:r>
        <w:t>Legal and Privacy determine whether customer, regulator, or contractual notifications are required, based on facts established during the investigation and applicable obligations.</w:t>
      </w:r>
    </w:p>
    <w:p>
      <w:pPr>
        <w:spacing w:after="100" w:line="269" w:lineRule="auto"/>
      </w:pPr>
      <w:r>
        <w:t>A post-incident review is completed within ten business days for major incidents and includes root cause, control gaps, corrective actions, and accountable owners.</w:t>
      </w:r>
    </w:p>
    <w:p>
      <w:pPr>
        <w:pStyle w:val="Heading2"/>
      </w:pPr>
      <w:r>
        <w:t>Key Control Statements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 ID</w:t>
            </w:r>
          </w:p>
        </w:tc>
        <w:tc>
          <w:tcPr>
            <w:tcW w:type="dxa" w:w="2880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4608"/>
            <w:shd w:fill="1C366E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 Summary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IRP-01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Runbooks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Security maintains runbooks and responder contacts for common incident scenarios.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IRP-02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Events are triaged by impact and assigned a documented severity level.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IRP-03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Containment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Compromised accounts, endpoints, and tokens are isolated or revoked as appropriate.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IRP-04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Legal and Privacy determine external notification obligations.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4F7FD"/>
          </w:tcPr>
          <w:p>
            <w:pPr>
              <w:jc w:val="center"/>
            </w:pPr>
            <w:r>
              <w:rPr>
                <w:b/>
                <w:color w:val="1C366E"/>
                <w:sz w:val="18"/>
              </w:rPr>
              <w:t>IRP-05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Lessons learned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Major incidents receive a formal post-incident review with tracked corrective actions.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70"/>
        <w:sz w:val="16"/>
      </w:rPr>
      <w:t xml:space="preserve">Synthetic policy pack for MVP testing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70"/>
        <w:sz w:val="16"/>
      </w:rPr>
      <w:t>Northstar Health Analytics, Inc.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C3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C3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C3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C36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