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C366E"/>
          <w:sz w:val="48"/>
        </w:rPr>
        <w:t>Information Security Policy</w:t>
      </w:r>
    </w:p>
    <w:p>
      <w:pPr>
        <w:jc w:val="left"/>
      </w:pPr>
      <w:r>
        <w:rPr>
          <w:i/>
          <w:color w:val="5A6270"/>
          <w:sz w:val="22"/>
        </w:rPr>
        <w:t>Version 2.3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6768"/>
      </w:tblGrid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Document Owner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VP, Security &amp; Compliance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Effective Date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January 15, 2026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Next Review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January 15, 2027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Classification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Applicability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All employees, contractors, and approved third parties</w:t>
            </w:r>
          </w:p>
        </w:tc>
      </w:tr>
    </w:tbl>
    <w:p/>
    <w:p>
      <w:r>
        <w:rPr>
          <w:b/>
          <w:color w:val="1C366E"/>
          <w:sz w:val="22"/>
        </w:rPr>
        <w:t>Purpose</w:t>
      </w:r>
    </w:p>
    <w:p>
      <w:pPr>
        <w:spacing w:after="160"/>
      </w:pPr>
      <w:r>
        <w:t>Define the baseline governance, administrative controls, and workforce expectations used to protect company information assets in a medium-sized regulated business environment.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4F7F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i/>
                <w:color w:val="5A6270"/>
                <w:sz w:val="18"/>
              </w:rPr>
              <w:t>Synthetic dataset notice: This document is fictional and created for testing retrieval, grounding, and citation behavior in a security questionnaire MVP.</w:t>
            </w:r>
          </w:p>
        </w:tc>
      </w:tr>
    </w:tbl>
    <w:p/>
    <w:p>
      <w:pPr>
        <w:pStyle w:val="Heading1"/>
      </w:pPr>
      <w:r>
        <w:t>1. Governance and Scope</w:t>
      </w:r>
    </w:p>
    <w:p>
      <w:pPr>
        <w:spacing w:after="100" w:line="269" w:lineRule="auto"/>
      </w:pPr>
      <w:r>
        <w:t>Northstar Health Analytics, Inc. maintains a formal information security program approved by executive leadership and reviewed at least annually by the Security Steering Committee.</w:t>
      </w:r>
    </w:p>
    <w:p>
      <w:pPr>
        <w:spacing w:after="100" w:line="269" w:lineRule="auto"/>
      </w:pPr>
      <w:r>
        <w:t>The policy applies to corporate systems, SaaS applications, endpoints, cloud workloads, collaboration platforms, and any information processed on behalf of customers or the company.</w:t>
      </w:r>
    </w:p>
    <w:p>
      <w:pPr>
        <w:spacing w:after="100" w:line="269" w:lineRule="auto"/>
      </w:pPr>
      <w:r>
        <w:t>Control owners must maintain documented procedures for their assigned domains and provide evidence during internal reviews, customer due diligence, and external audits.</w:t>
      </w:r>
    </w:p>
    <w:p>
      <w:pPr>
        <w:pStyle w:val="Heading1"/>
      </w:pPr>
      <w:r>
        <w:t>2. Risk Management</w:t>
      </w:r>
    </w:p>
    <w:p>
      <w:pPr>
        <w:spacing w:after="100" w:line="269" w:lineRule="auto"/>
      </w:pPr>
      <w:r>
        <w:t>Security risks are identified through periodic risk assessments, vulnerability scanning, penetration testing, vendor reviews, and incident postmortems.</w:t>
      </w:r>
    </w:p>
    <w:p>
      <w:pPr>
        <w:spacing w:after="100" w:line="269" w:lineRule="auto"/>
      </w:pPr>
      <w:r>
        <w:t>Material risks are recorded in the enterprise risk register, assigned an accountable owner, and tracked to remediation or formally accepted by leadership when remediation is not immediately feasible.</w:t>
      </w:r>
    </w:p>
    <w:p>
      <w:pPr>
        <w:pStyle w:val="ListBullet"/>
        <w:spacing w:after="60"/>
      </w:pPr>
      <w:r>
        <w:t>Formal risk assessment performed at least once every 12 months and when major systems or business processes materially change.</w:t>
      </w:r>
    </w:p>
    <w:p>
      <w:pPr>
        <w:pStyle w:val="ListBullet"/>
        <w:spacing w:after="60"/>
      </w:pPr>
      <w:r>
        <w:t>High-risk findings require a remediation plan with target dates and executive visibility.</w:t>
      </w:r>
    </w:p>
    <w:p>
      <w:pPr>
        <w:pStyle w:val="ListBullet"/>
        <w:spacing w:after="60"/>
      </w:pPr>
      <w:r>
        <w:t>Compensating controls must be documented when a primary control cannot be implemented on schedule.</w:t>
      </w:r>
    </w:p>
    <w:p>
      <w:pPr>
        <w:pStyle w:val="Heading1"/>
      </w:pPr>
      <w:r>
        <w:t>3. Workforce Security Expectations</w:t>
      </w:r>
    </w:p>
    <w:p>
      <w:pPr>
        <w:spacing w:after="100" w:line="269" w:lineRule="auto"/>
      </w:pPr>
      <w:r>
        <w:t>All personnel must complete security awareness training during onboarding and annually thereafter. Specialized role-based training is required for system administrators, developers, and incident responders.</w:t>
      </w:r>
    </w:p>
    <w:p>
      <w:pPr>
        <w:spacing w:after="100" w:line="269" w:lineRule="auto"/>
      </w:pPr>
      <w:r>
        <w:t>Background checks are completed for employees in roles with access to sensitive systems, subject to local law and hiring policy.</w:t>
      </w:r>
    </w:p>
    <w:p>
      <w:pPr>
        <w:spacing w:after="100" w:line="269" w:lineRule="auto"/>
      </w:pPr>
      <w:r>
        <w:t>Confidential information may be accessed only for legitimate business purposes and may not be shared through unapproved channels or personal storage services.</w:t>
      </w:r>
    </w:p>
    <w:p>
      <w:pPr>
        <w:pStyle w:val="Heading1"/>
      </w:pPr>
      <w:r>
        <w:t>4. Policy Exceptions and Enforcement</w:t>
      </w:r>
    </w:p>
    <w:p>
      <w:pPr>
        <w:spacing w:after="100" w:line="269" w:lineRule="auto"/>
      </w:pPr>
      <w:r>
        <w:t>Any requested deviation from a published security requirement must be approved through the documented exception process, include a business justification, identify risk, and specify an expiration date.</w:t>
      </w:r>
    </w:p>
    <w:p>
      <w:pPr>
        <w:spacing w:after="100" w:line="269" w:lineRule="auto"/>
      </w:pPr>
      <w:r>
        <w:t>Violations of this policy may result in disciplinary action, up to and including termination of access, employment action, or contract termination.</w:t>
      </w:r>
    </w:p>
    <w:p>
      <w:pPr>
        <w:pStyle w:val="Heading2"/>
      </w:pPr>
      <w:r>
        <w:t>Key Control Statements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fill="1C366E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Control ID</w:t>
            </w:r>
          </w:p>
        </w:tc>
        <w:tc>
          <w:tcPr>
            <w:tcW w:type="dxa" w:w="2880"/>
            <w:shd w:fill="1C366E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4608"/>
            <w:shd w:fill="1C366E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 Summary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ISP-01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Program governance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Security policies and standards are approved by leadership, version controlled, and reviewed at least annually.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ISP-02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Training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Security awareness training is completed at hire and annually for all workforce members.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ISP-03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Risk management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Material security risks are recorded, assigned owners, and tracked through remediation or formal risk acceptance.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ISP-04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Exceptions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Exceptions require documented approval, compensating controls, and an expiration or review date.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70"/>
        <w:sz w:val="16"/>
      </w:rPr>
      <w:t xml:space="preserve">Synthetic policy pack for MVP testing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270"/>
        <w:sz w:val="16"/>
      </w:rPr>
      <w:t>Northstar Health Analytics, Inc.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C3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C3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C3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C36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