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C366E"/>
          <w:sz w:val="48"/>
        </w:rPr>
        <w:t>Vendor Risk Management Policy</w:t>
      </w:r>
    </w:p>
    <w:p>
      <w:pPr>
        <w:jc w:val="left"/>
      </w:pPr>
      <w:r>
        <w:rPr>
          <w:i/>
          <w:color w:val="5A6270"/>
          <w:sz w:val="22"/>
        </w:rPr>
        <w:t>Version 1.2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Document Owner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Procurement Director with Security Oversight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Effective Date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2026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Next Review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2027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Classification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Applicability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All employees, contractors, and approved third parties</w:t>
            </w:r>
          </w:p>
        </w:tc>
      </w:tr>
    </w:tbl>
    <w:p/>
    <w:p>
      <w:r>
        <w:rPr>
          <w:b/>
          <w:color w:val="1C366E"/>
          <w:sz w:val="22"/>
        </w:rPr>
        <w:t>Purpose</w:t>
      </w:r>
    </w:p>
    <w:p>
      <w:pPr>
        <w:spacing w:after="160"/>
      </w:pPr>
      <w:r>
        <w:t>Define due diligence, contracting, ongoing review, and issue management requirements for third parties that access company systems, process data, or provide critical business services.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7F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i/>
                <w:color w:val="5A6270"/>
                <w:sz w:val="18"/>
              </w:rPr>
              <w:t>Synthetic dataset notice: This document is fictional and created for testing retrieval, grounding, and citation behavior in a security questionnaire MVP.</w:t>
            </w:r>
          </w:p>
        </w:tc>
      </w:tr>
    </w:tbl>
    <w:p/>
    <w:p>
      <w:pPr>
        <w:pStyle w:val="Heading1"/>
      </w:pPr>
      <w:r>
        <w:t>1. Vendor Classification</w:t>
      </w:r>
    </w:p>
    <w:p>
      <w:pPr>
        <w:spacing w:after="100" w:line="269" w:lineRule="auto"/>
      </w:pPr>
      <w:r>
        <w:t>Third parties are classified based on service criticality, access to sensitive information, integration level, and dependency for business operations.</w:t>
      </w:r>
    </w:p>
    <w:p>
      <w:pPr>
        <w:spacing w:after="100" w:line="269" w:lineRule="auto"/>
      </w:pPr>
      <w:r>
        <w:t>Vendors that host company or customer data, provide managed security or infrastructure services, or receive administrative access are treated as high-risk vendors and must complete enhanced diligence.</w:t>
      </w:r>
    </w:p>
    <w:p>
      <w:pPr>
        <w:pStyle w:val="Heading1"/>
      </w:pPr>
      <w:r>
        <w:t>2. Due Diligence</w:t>
      </w:r>
    </w:p>
    <w:p>
      <w:pPr>
        <w:spacing w:after="100" w:line="269" w:lineRule="auto"/>
      </w:pPr>
      <w:r>
        <w:t>Before onboarding, vendors must complete a security questionnaire and provide evidence appropriate to their risk tier, such as a SOC 2 report, ISO 27001 certification, penetration test summary, or equivalent control documentation.</w:t>
      </w:r>
    </w:p>
    <w:p>
      <w:pPr>
        <w:spacing w:after="100" w:line="269" w:lineRule="auto"/>
      </w:pPr>
      <w:r>
        <w:t>Security reviews contract terms for confidentiality, breach notification, right to audit, data handling, subcontractor use, and minimum security obligations.</w:t>
      </w:r>
    </w:p>
    <w:p>
      <w:pPr>
        <w:spacing w:after="100" w:line="269" w:lineRule="auto"/>
      </w:pPr>
      <w:r>
        <w:t>Exceptions to required evidence must be approved by Security and the business owner with documented rationale.</w:t>
      </w:r>
    </w:p>
    <w:p>
      <w:pPr>
        <w:pStyle w:val="Heading1"/>
      </w:pPr>
      <w:r>
        <w:t>3. Ongoing Monitoring</w:t>
      </w:r>
    </w:p>
    <w:p>
      <w:pPr>
        <w:spacing w:after="100" w:line="269" w:lineRule="auto"/>
      </w:pPr>
      <w:r>
        <w:t>High-risk vendors are reassessed at least annually. Critical findings, expired evidence, material incidents, or major architecture changes may trigger interim reassessment.</w:t>
      </w:r>
    </w:p>
    <w:p>
      <w:pPr>
        <w:spacing w:after="100" w:line="269" w:lineRule="auto"/>
      </w:pPr>
      <w:r>
        <w:t>The vendor owner is responsible for confirming continued business need and escalating unresolved issues that create unacceptable risk.</w:t>
      </w:r>
    </w:p>
    <w:p>
      <w:pPr>
        <w:pStyle w:val="ListBullet"/>
        <w:spacing w:after="60"/>
      </w:pPr>
      <w:r>
        <w:t>Access granted to vendors must be time-bound, attributable to named individuals, and disabled when work concludes.</w:t>
      </w:r>
    </w:p>
    <w:p>
      <w:pPr>
        <w:pStyle w:val="ListBullet"/>
        <w:spacing w:after="60"/>
      </w:pPr>
      <w:r>
        <w:t>Production support by vendors should occur through monitored accounts and approved remote access mechanisms.</w:t>
      </w:r>
    </w:p>
    <w:p>
      <w:pPr>
        <w:pStyle w:val="ListBullet"/>
        <w:spacing w:after="60"/>
      </w:pPr>
      <w:r>
        <w:t>Subprocessors handling regulated or confidential data must be disclosed and reviewed where contractually required.</w:t>
      </w:r>
    </w:p>
    <w:p>
      <w:pPr>
        <w:pStyle w:val="Heading1"/>
      </w:pPr>
      <w:r>
        <w:t>4. Findings and Remediation</w:t>
      </w:r>
    </w:p>
    <w:p>
      <w:pPr>
        <w:spacing w:after="100" w:line="269" w:lineRule="auto"/>
      </w:pPr>
      <w:r>
        <w:t>Material control gaps identified during due diligence or monitoring must be recorded, risk-rated, and tracked with remediation commitments or compensating controls.</w:t>
      </w:r>
    </w:p>
    <w:p>
      <w:pPr>
        <w:spacing w:after="100" w:line="269" w:lineRule="auto"/>
      </w:pPr>
      <w:r>
        <w:t>Procurement may not finalize onboarding of a high-risk vendor until required approvals are complete or a formal risk acceptance is recorded.</w:t>
      </w:r>
    </w:p>
    <w:p>
      <w:pPr>
        <w:pStyle w:val="Heading2"/>
      </w:pPr>
      <w:r>
        <w:t>Key Control Statements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ID</w:t>
            </w:r>
          </w:p>
        </w:tc>
        <w:tc>
          <w:tcPr>
            <w:tcW w:type="dxa" w:w="2880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460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 Summary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VRM-01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Risk tiering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Vendors are classified by criticality, data sensitivity, and access profile.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VRM-02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Pre-onboarding evidence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Risk-appropriate security evidence is collected before onboarding.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VRM-03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Contract review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Security requirements and incident notification terms are reviewed before execution.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VRM-04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Annual reassessment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High-risk vendors are reassessed at least annually.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VRM-05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Issue tracking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Vendor control gaps are documented and tracked to remediation or formal acceptance.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70"/>
        <w:sz w:val="16"/>
      </w:rPr>
      <w:t xml:space="preserve">Synthetic policy pack for MVP testing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70"/>
        <w:sz w:val="16"/>
      </w:rPr>
      <w:t>Northstar Health Analytics,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3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C3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C3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C3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