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5BFE" w14:textId="77777777" w:rsidR="002932A3" w:rsidRDefault="00000000">
      <w:pPr>
        <w:spacing w:before="1920" w:after="280"/>
        <w:jc w:val="center"/>
      </w:pPr>
      <w:r>
        <w:rPr>
          <w:b/>
          <w:color w:val="2E74B5"/>
          <w:sz w:val="20"/>
        </w:rPr>
        <w:t>CLINICAL PERFUSION CASE STUDY</w:t>
      </w:r>
    </w:p>
    <w:p w14:paraId="7D51FD61" w14:textId="77777777" w:rsidR="002932A3" w:rsidRDefault="00000000">
      <w:pPr>
        <w:spacing w:after="200"/>
        <w:jc w:val="center"/>
      </w:pPr>
      <w:r>
        <w:rPr>
          <w:b/>
          <w:color w:val="17364D"/>
          <w:sz w:val="52"/>
        </w:rPr>
        <w:t>Redo Aortic Valve Replacement and Proximal Aortic Reconstruction</w:t>
      </w:r>
    </w:p>
    <w:p w14:paraId="4D7277D6" w14:textId="77777777" w:rsidR="002932A3" w:rsidRDefault="00000000">
      <w:pPr>
        <w:spacing w:after="360"/>
        <w:jc w:val="center"/>
        <w:rPr>
          <w:color w:val="1F4D78"/>
          <w:sz w:val="28"/>
        </w:rPr>
      </w:pPr>
      <w:r>
        <w:rPr>
          <w:color w:val="1F4D78"/>
          <w:sz w:val="28"/>
        </w:rPr>
        <w:t>Pre-incision cardiopulmonary bypass, hypothermic circulatory arrest, and selective antegrade cerebral perfusion</w:t>
      </w:r>
    </w:p>
    <w:p w14:paraId="4EC2A49F" w14:textId="77777777" w:rsidR="008212B9" w:rsidRDefault="008212B9">
      <w:pPr>
        <w:spacing w:after="360"/>
        <w:jc w:val="center"/>
        <w:rPr>
          <w:color w:val="1F4D78"/>
          <w:sz w:val="28"/>
        </w:rPr>
      </w:pPr>
    </w:p>
    <w:p w14:paraId="5238FE04" w14:textId="4B99A914" w:rsidR="008212B9" w:rsidRDefault="008212B9">
      <w:pPr>
        <w:spacing w:after="360"/>
        <w:jc w:val="center"/>
        <w:rPr>
          <w:color w:val="1F4D78"/>
          <w:sz w:val="28"/>
        </w:rPr>
      </w:pPr>
      <w:r>
        <w:rPr>
          <w:color w:val="1F4D78"/>
          <w:sz w:val="28"/>
        </w:rPr>
        <w:t>Sydney Lias</w:t>
      </w:r>
    </w:p>
    <w:p w14:paraId="306D4CB8" w14:textId="3535C5D6" w:rsidR="008212B9" w:rsidRDefault="008212B9">
      <w:pPr>
        <w:spacing w:after="360"/>
        <w:jc w:val="center"/>
        <w:rPr>
          <w:color w:val="1F4D78"/>
          <w:sz w:val="28"/>
        </w:rPr>
      </w:pPr>
      <w:r>
        <w:rPr>
          <w:color w:val="1F4D78"/>
          <w:sz w:val="28"/>
        </w:rPr>
        <w:t>Emory University</w:t>
      </w:r>
    </w:p>
    <w:p w14:paraId="168F9961" w14:textId="321EAE29" w:rsidR="008212B9" w:rsidRDefault="008212B9">
      <w:pPr>
        <w:spacing w:after="360"/>
        <w:jc w:val="center"/>
      </w:pPr>
      <w:r>
        <w:rPr>
          <w:color w:val="1F4D78"/>
          <w:sz w:val="28"/>
        </w:rPr>
        <w:t>8/6/2026</w:t>
      </w:r>
    </w:p>
    <w:p w14:paraId="3DB1B84C" w14:textId="77777777" w:rsidR="002932A3" w:rsidRDefault="00000000">
      <w:r>
        <w:br w:type="page"/>
      </w:r>
    </w:p>
    <w:p w14:paraId="65F816B8" w14:textId="77777777" w:rsidR="002932A3" w:rsidRDefault="00000000">
      <w:pPr>
        <w:pStyle w:val="Heading1"/>
      </w:pPr>
      <w:r>
        <w:lastRenderedPageBreak/>
        <w:t>Abstract</w:t>
      </w:r>
    </w:p>
    <w:p w14:paraId="798C8C3F" w14:textId="3D48F9A9" w:rsidR="002932A3" w:rsidRDefault="00000000">
      <w:r>
        <w:t xml:space="preserve">This case describes the perfusion management of a 55-year-old woman undergoing redo sternotomy, mechanical aortic valve replacement, ascending aortic and proximal arch replacement, recurrent subaortic membrane resection, and partial septal myectomy. Her prior operations included ventricular septal defect (VSD) repair, aortic valve repair, septal myectomy, and subaortic membrane resection. The principal perfusion challenge was the anticipated adherence of the ascending aorta to the posterior sternum. Right axillary arterial inflow through an 8 mm graft and right femoral venous drainage were established before chest entry, allowing full cardiopulmonary bypass (CPB) and systemic cooling before the sternotomy was completed. During re-entry, an approximately 3 cm opening developed in the adherent ascending aorta. Full bypass support, continued cooling, surgical compression, high-volume field suction, and cell salvage maintained control until circulatory arrest and selective antegrade cerebral perfusion (ACP) enabled distal reconstruction. The patient was rewarmed and separated from CPB without difficulty. This case highlights the perfusionist’s role in anticipating catastrophic re-entry, maintaining flow and anticoagulation, coordinating organ-protection transitions, </w:t>
      </w:r>
      <w:r w:rsidR="00C71BE6">
        <w:t xml:space="preserve">and </w:t>
      </w:r>
      <w:r>
        <w:t>managing rapid blood loss.</w:t>
      </w:r>
    </w:p>
    <w:tbl>
      <w:tblPr>
        <w:tblStyle w:val="TableGrid"/>
        <w:tblW w:w="9360" w:type="dxa"/>
        <w:tblInd w:w="120" w:type="dxa"/>
        <w:tblLayout w:type="fixed"/>
        <w:tblLook w:val="04A0" w:firstRow="1" w:lastRow="0" w:firstColumn="1" w:lastColumn="0" w:noHBand="0" w:noVBand="1"/>
      </w:tblPr>
      <w:tblGrid>
        <w:gridCol w:w="9360"/>
      </w:tblGrid>
      <w:tr w:rsidR="002932A3" w14:paraId="51132399" w14:textId="77777777">
        <w:tc>
          <w:tcPr>
            <w:tcW w:w="9360" w:type="dxa"/>
            <w:shd w:val="clear" w:color="auto" w:fill="F4F6F9"/>
            <w:tcMar>
              <w:top w:w="80" w:type="dxa"/>
              <w:left w:w="120" w:type="dxa"/>
              <w:bottom w:w="80" w:type="dxa"/>
              <w:right w:w="120" w:type="dxa"/>
            </w:tcMar>
            <w:vAlign w:val="center"/>
          </w:tcPr>
          <w:p w14:paraId="1FED534F" w14:textId="77777777" w:rsidR="002932A3" w:rsidRDefault="00000000">
            <w:pPr>
              <w:spacing w:after="40"/>
            </w:pPr>
            <w:r>
              <w:rPr>
                <w:b/>
                <w:color w:val="9B1C1C"/>
                <w:sz w:val="18"/>
              </w:rPr>
              <w:t>CENTRAL PERFUSION LESSON</w:t>
            </w:r>
          </w:p>
          <w:p w14:paraId="6EA1D271" w14:textId="77777777" w:rsidR="002932A3" w:rsidRDefault="00000000">
            <w:pPr>
              <w:spacing w:after="0"/>
            </w:pPr>
            <w:r>
              <w:rPr>
                <w:b/>
                <w:color w:val="17364D"/>
                <w:sz w:val="21"/>
              </w:rPr>
              <w:t>Peripheral CPB before sternotomy created physiologic reserve for a known hostile re-entry, while axillary inflow provided a direct route for selective ACP during open aortic reconstruction.</w:t>
            </w:r>
          </w:p>
        </w:tc>
      </w:tr>
    </w:tbl>
    <w:p w14:paraId="664989CF" w14:textId="77777777" w:rsidR="002932A3" w:rsidRDefault="002932A3">
      <w:pPr>
        <w:spacing w:after="0"/>
      </w:pPr>
    </w:p>
    <w:p w14:paraId="2E38B340" w14:textId="77777777" w:rsidR="002932A3" w:rsidRDefault="00000000">
      <w:pPr>
        <w:pStyle w:val="Heading1"/>
      </w:pPr>
      <w:r>
        <w:t>Introduction</w:t>
      </w:r>
    </w:p>
    <w:p w14:paraId="50416B0D" w14:textId="77777777" w:rsidR="002932A3" w:rsidRDefault="00000000">
      <w:r>
        <w:t>Redo surgery involving the aortic valve and ascending aorta requires coordinated planning among the surgeon, anesthesiologist, nursing team, and perfusionist. Previous sternotomy can leave the right ventricle, grafts, or aorta adherent to the posterior table of the sternum. When the ascending aorta is directly beneath the sternum, re-entry may cause sudden, high-volume hemorrhage before central cannulation is possible. Establishing peripheral CPB and cooling before incision can reduce the consequences of this hazard by providing immediate circulatory support and a pathway to hypothermic arrest.</w:t>
      </w:r>
    </w:p>
    <w:p w14:paraId="78B4B287" w14:textId="77777777" w:rsidR="002932A3" w:rsidRDefault="00000000">
      <w:r>
        <w:t>For the perfusionist, the case is not defined only by pump time. It requires preparation for multiple perfusion states: full-body CPB during cooling, temporary systemic arrest, selective cerebral flow, return to systemic perfusion through the graft sidearm, rewarming, and separation from bypass. Each transition changes the goals for flow, pressure, temperature, venous drainage, suction management, anticoagulation, and communication.</w:t>
      </w:r>
    </w:p>
    <w:p w14:paraId="4731D8F5" w14:textId="77777777" w:rsidR="002932A3" w:rsidRDefault="00000000">
      <w:pPr>
        <w:pStyle w:val="Heading1"/>
      </w:pPr>
      <w:r>
        <w:t>Patient Background</w:t>
      </w:r>
    </w:p>
    <w:p w14:paraId="5E5D08D7" w14:textId="77777777" w:rsidR="002932A3" w:rsidRDefault="00000000">
      <w:r>
        <w:t xml:space="preserve">The patient was a 55-year-old woman who presented with worsening shortness of breath and fatigue. Her congenital and surgical history included VSD repair, previous aortic valve repair, septal myectomy, and prior resection of a subaortic membrane. She subsequently developed recurrent subaortic obstruction, severe torrential aortic insufficiency, and an ascending aortic aneurysm measuring </w:t>
      </w:r>
      <w:r>
        <w:lastRenderedPageBreak/>
        <w:t>approximately 5 cm. Preoperative testing documented preserved left ventricular systolic function, a heavily calcified bicuspid aortic valve, moderate pulmonic stenosis, elevated filling pressures, and no obstructive coronary artery disease.</w:t>
      </w:r>
    </w:p>
    <w:tbl>
      <w:tblPr>
        <w:tblStyle w:val="TableGrid"/>
        <w:tblW w:w="9360" w:type="dxa"/>
        <w:tblInd w:w="120" w:type="dxa"/>
        <w:tblLayout w:type="fixed"/>
        <w:tblLook w:val="04A0" w:firstRow="1" w:lastRow="0" w:firstColumn="1" w:lastColumn="0" w:noHBand="0" w:noVBand="1"/>
      </w:tblPr>
      <w:tblGrid>
        <w:gridCol w:w="2700"/>
        <w:gridCol w:w="6660"/>
      </w:tblGrid>
      <w:tr w:rsidR="002932A3" w14:paraId="46EF27D2" w14:textId="77777777">
        <w:tc>
          <w:tcPr>
            <w:tcW w:w="2700" w:type="dxa"/>
            <w:shd w:val="clear" w:color="auto" w:fill="E8EEF5"/>
            <w:tcMar>
              <w:top w:w="80" w:type="dxa"/>
              <w:left w:w="120" w:type="dxa"/>
              <w:bottom w:w="80" w:type="dxa"/>
              <w:right w:w="120" w:type="dxa"/>
            </w:tcMar>
            <w:vAlign w:val="center"/>
          </w:tcPr>
          <w:p w14:paraId="32291824" w14:textId="77777777" w:rsidR="002932A3" w:rsidRDefault="00000000">
            <w:pPr>
              <w:spacing w:after="0" w:line="240" w:lineRule="auto"/>
            </w:pPr>
            <w:r>
              <w:rPr>
                <w:b/>
                <w:color w:val="17364D"/>
                <w:sz w:val="20"/>
              </w:rPr>
              <w:t>Clinical variable</w:t>
            </w:r>
          </w:p>
        </w:tc>
        <w:tc>
          <w:tcPr>
            <w:tcW w:w="6660" w:type="dxa"/>
            <w:shd w:val="clear" w:color="auto" w:fill="E8EEF5"/>
            <w:tcMar>
              <w:top w:w="80" w:type="dxa"/>
              <w:left w:w="120" w:type="dxa"/>
              <w:bottom w:w="80" w:type="dxa"/>
              <w:right w:w="120" w:type="dxa"/>
            </w:tcMar>
            <w:vAlign w:val="center"/>
          </w:tcPr>
          <w:p w14:paraId="6D8FF677" w14:textId="77777777" w:rsidR="002932A3" w:rsidRDefault="00000000">
            <w:pPr>
              <w:spacing w:after="0" w:line="240" w:lineRule="auto"/>
            </w:pPr>
            <w:r>
              <w:rPr>
                <w:b/>
                <w:color w:val="17364D"/>
                <w:sz w:val="20"/>
              </w:rPr>
              <w:t>Record-supported finding</w:t>
            </w:r>
          </w:p>
        </w:tc>
      </w:tr>
      <w:tr w:rsidR="002932A3" w14:paraId="32506557" w14:textId="77777777">
        <w:tc>
          <w:tcPr>
            <w:tcW w:w="2700" w:type="dxa"/>
            <w:tcMar>
              <w:top w:w="80" w:type="dxa"/>
              <w:left w:w="120" w:type="dxa"/>
              <w:bottom w:w="80" w:type="dxa"/>
              <w:right w:w="120" w:type="dxa"/>
            </w:tcMar>
            <w:vAlign w:val="center"/>
          </w:tcPr>
          <w:p w14:paraId="5FD76F0A" w14:textId="77777777" w:rsidR="002932A3" w:rsidRDefault="00000000">
            <w:pPr>
              <w:spacing w:after="0" w:line="240" w:lineRule="auto"/>
            </w:pPr>
            <w:r>
              <w:rPr>
                <w:sz w:val="19"/>
              </w:rPr>
              <w:t>Age/sex</w:t>
            </w:r>
          </w:p>
        </w:tc>
        <w:tc>
          <w:tcPr>
            <w:tcW w:w="6660" w:type="dxa"/>
            <w:tcMar>
              <w:top w:w="80" w:type="dxa"/>
              <w:left w:w="120" w:type="dxa"/>
              <w:bottom w:w="80" w:type="dxa"/>
              <w:right w:w="120" w:type="dxa"/>
            </w:tcMar>
            <w:vAlign w:val="center"/>
          </w:tcPr>
          <w:p w14:paraId="66CBC4F9" w14:textId="77777777" w:rsidR="002932A3" w:rsidRDefault="00000000">
            <w:pPr>
              <w:spacing w:after="0" w:line="240" w:lineRule="auto"/>
            </w:pPr>
            <w:r>
              <w:rPr>
                <w:sz w:val="19"/>
              </w:rPr>
              <w:t>55-year-old woman</w:t>
            </w:r>
          </w:p>
        </w:tc>
      </w:tr>
      <w:tr w:rsidR="002932A3" w14:paraId="1A13E626" w14:textId="77777777">
        <w:tc>
          <w:tcPr>
            <w:tcW w:w="2700" w:type="dxa"/>
            <w:tcMar>
              <w:top w:w="80" w:type="dxa"/>
              <w:left w:w="120" w:type="dxa"/>
              <w:bottom w:w="80" w:type="dxa"/>
              <w:right w:w="120" w:type="dxa"/>
            </w:tcMar>
            <w:vAlign w:val="center"/>
          </w:tcPr>
          <w:p w14:paraId="514C8F20" w14:textId="77777777" w:rsidR="002932A3" w:rsidRDefault="00000000">
            <w:pPr>
              <w:spacing w:after="0" w:line="240" w:lineRule="auto"/>
            </w:pPr>
            <w:r>
              <w:rPr>
                <w:sz w:val="19"/>
              </w:rPr>
              <w:t>Weight / height</w:t>
            </w:r>
          </w:p>
        </w:tc>
        <w:tc>
          <w:tcPr>
            <w:tcW w:w="6660" w:type="dxa"/>
            <w:tcMar>
              <w:top w:w="80" w:type="dxa"/>
              <w:left w:w="120" w:type="dxa"/>
              <w:bottom w:w="80" w:type="dxa"/>
              <w:right w:w="120" w:type="dxa"/>
            </w:tcMar>
            <w:vAlign w:val="center"/>
          </w:tcPr>
          <w:p w14:paraId="011B9446" w14:textId="77777777" w:rsidR="002932A3" w:rsidRDefault="00000000">
            <w:pPr>
              <w:spacing w:after="0" w:line="240" w:lineRule="auto"/>
            </w:pPr>
            <w:r>
              <w:rPr>
                <w:sz w:val="19"/>
              </w:rPr>
              <w:t>76.7 kg / 157.5 cm</w:t>
            </w:r>
          </w:p>
        </w:tc>
      </w:tr>
      <w:tr w:rsidR="002932A3" w14:paraId="231DC856" w14:textId="77777777">
        <w:tc>
          <w:tcPr>
            <w:tcW w:w="2700" w:type="dxa"/>
            <w:tcMar>
              <w:top w:w="80" w:type="dxa"/>
              <w:left w:w="120" w:type="dxa"/>
              <w:bottom w:w="80" w:type="dxa"/>
              <w:right w:w="120" w:type="dxa"/>
            </w:tcMar>
            <w:vAlign w:val="center"/>
          </w:tcPr>
          <w:p w14:paraId="0870F36F" w14:textId="77777777" w:rsidR="002932A3" w:rsidRDefault="00000000">
            <w:pPr>
              <w:spacing w:after="0" w:line="240" w:lineRule="auto"/>
            </w:pPr>
            <w:r>
              <w:rPr>
                <w:sz w:val="19"/>
              </w:rPr>
              <w:t>Body surface area</w:t>
            </w:r>
          </w:p>
        </w:tc>
        <w:tc>
          <w:tcPr>
            <w:tcW w:w="6660" w:type="dxa"/>
            <w:tcMar>
              <w:top w:w="80" w:type="dxa"/>
              <w:left w:w="120" w:type="dxa"/>
              <w:bottom w:w="80" w:type="dxa"/>
              <w:right w:w="120" w:type="dxa"/>
            </w:tcMar>
            <w:vAlign w:val="center"/>
          </w:tcPr>
          <w:p w14:paraId="7037AE11" w14:textId="77777777" w:rsidR="002932A3" w:rsidRDefault="00000000">
            <w:pPr>
              <w:spacing w:after="0" w:line="240" w:lineRule="auto"/>
            </w:pPr>
            <w:r>
              <w:rPr>
                <w:sz w:val="19"/>
              </w:rPr>
              <w:t>1.831 m²</w:t>
            </w:r>
          </w:p>
        </w:tc>
      </w:tr>
      <w:tr w:rsidR="002932A3" w14:paraId="732D5673" w14:textId="77777777">
        <w:tc>
          <w:tcPr>
            <w:tcW w:w="2700" w:type="dxa"/>
            <w:tcMar>
              <w:top w:w="80" w:type="dxa"/>
              <w:left w:w="120" w:type="dxa"/>
              <w:bottom w:w="80" w:type="dxa"/>
              <w:right w:w="120" w:type="dxa"/>
            </w:tcMar>
            <w:vAlign w:val="center"/>
          </w:tcPr>
          <w:p w14:paraId="489B5ABE" w14:textId="77777777" w:rsidR="002932A3" w:rsidRDefault="00000000">
            <w:pPr>
              <w:spacing w:after="0" w:line="240" w:lineRule="auto"/>
            </w:pPr>
            <w:r>
              <w:rPr>
                <w:sz w:val="19"/>
              </w:rPr>
              <w:t>Primary valve lesion</w:t>
            </w:r>
          </w:p>
        </w:tc>
        <w:tc>
          <w:tcPr>
            <w:tcW w:w="6660" w:type="dxa"/>
            <w:tcMar>
              <w:top w:w="80" w:type="dxa"/>
              <w:left w:w="120" w:type="dxa"/>
              <w:bottom w:w="80" w:type="dxa"/>
              <w:right w:w="120" w:type="dxa"/>
            </w:tcMar>
            <w:vAlign w:val="center"/>
          </w:tcPr>
          <w:p w14:paraId="0AF4FA27" w14:textId="77777777" w:rsidR="002932A3" w:rsidRDefault="00000000">
            <w:pPr>
              <w:spacing w:after="0" w:line="240" w:lineRule="auto"/>
            </w:pPr>
            <w:r>
              <w:rPr>
                <w:sz w:val="19"/>
              </w:rPr>
              <w:t>Severe torrential aortic insufficiency; calcified bicuspid valve</w:t>
            </w:r>
          </w:p>
        </w:tc>
      </w:tr>
      <w:tr w:rsidR="002932A3" w14:paraId="359FA419" w14:textId="77777777">
        <w:tc>
          <w:tcPr>
            <w:tcW w:w="2700" w:type="dxa"/>
            <w:tcMar>
              <w:top w:w="80" w:type="dxa"/>
              <w:left w:w="120" w:type="dxa"/>
              <w:bottom w:w="80" w:type="dxa"/>
              <w:right w:w="120" w:type="dxa"/>
            </w:tcMar>
            <w:vAlign w:val="center"/>
          </w:tcPr>
          <w:p w14:paraId="2D5A6108" w14:textId="77777777" w:rsidR="002932A3" w:rsidRDefault="00000000">
            <w:pPr>
              <w:spacing w:after="0" w:line="240" w:lineRule="auto"/>
            </w:pPr>
            <w:r>
              <w:rPr>
                <w:sz w:val="19"/>
              </w:rPr>
              <w:t>Aortic pathology</w:t>
            </w:r>
          </w:p>
        </w:tc>
        <w:tc>
          <w:tcPr>
            <w:tcW w:w="6660" w:type="dxa"/>
            <w:tcMar>
              <w:top w:w="80" w:type="dxa"/>
              <w:left w:w="120" w:type="dxa"/>
              <w:bottom w:w="80" w:type="dxa"/>
              <w:right w:w="120" w:type="dxa"/>
            </w:tcMar>
            <w:vAlign w:val="center"/>
          </w:tcPr>
          <w:p w14:paraId="7F492F11" w14:textId="77777777" w:rsidR="002932A3" w:rsidRDefault="00000000">
            <w:pPr>
              <w:spacing w:after="0" w:line="240" w:lineRule="auto"/>
            </w:pPr>
            <w:r>
              <w:rPr>
                <w:sz w:val="19"/>
              </w:rPr>
              <w:t>Ascending aneurysm approximately 5 cm</w:t>
            </w:r>
          </w:p>
        </w:tc>
      </w:tr>
      <w:tr w:rsidR="002932A3" w14:paraId="2C16B10D" w14:textId="77777777">
        <w:tc>
          <w:tcPr>
            <w:tcW w:w="2700" w:type="dxa"/>
            <w:tcMar>
              <w:top w:w="80" w:type="dxa"/>
              <w:left w:w="120" w:type="dxa"/>
              <w:bottom w:w="80" w:type="dxa"/>
              <w:right w:w="120" w:type="dxa"/>
            </w:tcMar>
            <w:vAlign w:val="center"/>
          </w:tcPr>
          <w:p w14:paraId="486735EA" w14:textId="77777777" w:rsidR="002932A3" w:rsidRDefault="00000000">
            <w:pPr>
              <w:spacing w:after="0" w:line="240" w:lineRule="auto"/>
            </w:pPr>
            <w:r>
              <w:rPr>
                <w:sz w:val="19"/>
              </w:rPr>
              <w:t>Prior operations</w:t>
            </w:r>
          </w:p>
        </w:tc>
        <w:tc>
          <w:tcPr>
            <w:tcW w:w="6660" w:type="dxa"/>
            <w:tcMar>
              <w:top w:w="80" w:type="dxa"/>
              <w:left w:w="120" w:type="dxa"/>
              <w:bottom w:w="80" w:type="dxa"/>
              <w:right w:w="120" w:type="dxa"/>
            </w:tcMar>
            <w:vAlign w:val="center"/>
          </w:tcPr>
          <w:p w14:paraId="3A8C1BE3" w14:textId="77777777" w:rsidR="002932A3" w:rsidRDefault="00000000">
            <w:pPr>
              <w:spacing w:after="0" w:line="240" w:lineRule="auto"/>
            </w:pPr>
            <w:r>
              <w:rPr>
                <w:sz w:val="19"/>
              </w:rPr>
              <w:t>VSD repair, aortic valve repair, septal myectomy, and subaortic membrane resection</w:t>
            </w:r>
          </w:p>
        </w:tc>
      </w:tr>
      <w:tr w:rsidR="002932A3" w14:paraId="0E353857" w14:textId="77777777">
        <w:tc>
          <w:tcPr>
            <w:tcW w:w="2700" w:type="dxa"/>
            <w:tcMar>
              <w:top w:w="80" w:type="dxa"/>
              <w:left w:w="120" w:type="dxa"/>
              <w:bottom w:w="80" w:type="dxa"/>
              <w:right w:w="120" w:type="dxa"/>
            </w:tcMar>
            <w:vAlign w:val="center"/>
          </w:tcPr>
          <w:p w14:paraId="7D93148A" w14:textId="77777777" w:rsidR="002932A3" w:rsidRDefault="00000000">
            <w:pPr>
              <w:spacing w:after="0" w:line="240" w:lineRule="auto"/>
            </w:pPr>
            <w:r>
              <w:rPr>
                <w:sz w:val="19"/>
              </w:rPr>
              <w:t>Planned surgery</w:t>
            </w:r>
          </w:p>
        </w:tc>
        <w:tc>
          <w:tcPr>
            <w:tcW w:w="6660" w:type="dxa"/>
            <w:tcMar>
              <w:top w:w="80" w:type="dxa"/>
              <w:left w:w="120" w:type="dxa"/>
              <w:bottom w:w="80" w:type="dxa"/>
              <w:right w:w="120" w:type="dxa"/>
            </w:tcMar>
            <w:vAlign w:val="center"/>
          </w:tcPr>
          <w:p w14:paraId="0E87E3A7" w14:textId="77777777" w:rsidR="002932A3" w:rsidRDefault="00000000">
            <w:pPr>
              <w:spacing w:after="0" w:line="240" w:lineRule="auto"/>
            </w:pPr>
            <w:r>
              <w:rPr>
                <w:sz w:val="19"/>
              </w:rPr>
              <w:t>Mechanical AVR, ascending/proximal arch grafting, repeat membrane resection, and partial myectomy</w:t>
            </w:r>
          </w:p>
        </w:tc>
      </w:tr>
    </w:tbl>
    <w:p w14:paraId="2ABF1DB3" w14:textId="77777777" w:rsidR="002932A3" w:rsidRDefault="002932A3">
      <w:pPr>
        <w:spacing w:after="0"/>
      </w:pPr>
    </w:p>
    <w:p w14:paraId="00E3296F" w14:textId="77777777" w:rsidR="002932A3" w:rsidRDefault="00000000">
      <w:pPr>
        <w:pStyle w:val="Heading1"/>
      </w:pPr>
      <w:r>
        <w:t>Background of the Surgical Procedure</w:t>
      </w:r>
    </w:p>
    <w:p w14:paraId="25B92CCA" w14:textId="77777777" w:rsidR="002932A3" w:rsidRDefault="00000000">
      <w:pPr>
        <w:pStyle w:val="Heading2"/>
      </w:pPr>
      <w:r>
        <w:t>Aortic valve replacement</w:t>
      </w:r>
    </w:p>
    <w:p w14:paraId="4BF81454" w14:textId="77777777" w:rsidR="002932A3" w:rsidRDefault="00000000">
      <w:r>
        <w:t>The native bicuspid aortic valve was heavily calcified and insufficient. Surgical replacement required excision of the valve, decalcification of the annulus, and implantation of a 25 mm St. Jude mechanical prosthesis. From the perfusion perspective, this intracardiac work required reliable myocardial arrest, adequate ventricular decompression, controlled systemic flow after completion of the distal aortic reconstruction, and sufficient rewarming and de-airing before cross-clamp removal.</w:t>
      </w:r>
    </w:p>
    <w:p w14:paraId="0730C2C8" w14:textId="77777777" w:rsidR="002932A3" w:rsidRDefault="00000000">
      <w:pPr>
        <w:pStyle w:val="Heading2"/>
      </w:pPr>
      <w:r>
        <w:t>Ascending aorta and proximal arch replacement</w:t>
      </w:r>
    </w:p>
    <w:p w14:paraId="74AD2FCB" w14:textId="77777777" w:rsidR="002932A3" w:rsidRDefault="00000000">
      <w:r>
        <w:t>The diseased ascending aorta was resected from the sinotubular junction toward the innominate artery and replaced with a 28 mm Gelweave graft. The distal anastomosis required an open aortic field, making systemic circulatory arrest and cerebral protection central to the perfusion plan. After the distal anastomosis was completed, the graft was clamped and full-body CPB was resumed through the graft sidearm.</w:t>
      </w:r>
    </w:p>
    <w:p w14:paraId="330F8757" w14:textId="77777777" w:rsidR="002932A3" w:rsidRDefault="00000000">
      <w:pPr>
        <w:pStyle w:val="Heading2"/>
      </w:pPr>
      <w:r>
        <w:t>Subaortic membrane resection and partial myectomy</w:t>
      </w:r>
    </w:p>
    <w:p w14:paraId="75C7F389" w14:textId="77777777" w:rsidR="002932A3" w:rsidRDefault="00000000">
      <w:r>
        <w:t>A recurrent fibrous membrane below the aortic valve was excised, and a partial myectomy was performed to enlarge the left ventricular outflow tract. The prior membrane resection and septal myectomy were important because recurrence increased the complexity of the valve operation and extended the period of myocardial ischemia. Long-term surveillance is necessary because recurrent obstruction is well described after subaortic stenosis surgery (Etnel et al., 2015).</w:t>
      </w:r>
    </w:p>
    <w:p w14:paraId="5473548D" w14:textId="54FBEA54" w:rsidR="002932A3" w:rsidRDefault="00000000" w:rsidP="00691CA5">
      <w:pPr>
        <w:pStyle w:val="Heading1"/>
      </w:pPr>
      <w:r>
        <w:lastRenderedPageBreak/>
        <w:t>Perfusion Strateg</w:t>
      </w:r>
      <w:r w:rsidR="00691CA5">
        <w:t>y</w:t>
      </w:r>
    </w:p>
    <w:p w14:paraId="677F8667" w14:textId="77777777" w:rsidR="002932A3" w:rsidRDefault="00000000">
      <w:pPr>
        <w:pStyle w:val="Heading2"/>
      </w:pPr>
      <w:r>
        <w:t>Cannulation and anticoagulation</w:t>
      </w:r>
    </w:p>
    <w:p w14:paraId="22540DD0" w14:textId="1AAE1E80" w:rsidR="002932A3" w:rsidRDefault="00000000">
      <w:r>
        <w:t>A right axillary artery exposure was performed and an 8 mm Gelweave graft was sewn to the artery. An initial 5,000-unit heparin dose was given during graft construction, followed by full systemic heparinization before CPB. Adequate activated clotting time was confirmed before bypass. Arterial return was connected to the axillary graft. Venous drainage was established with a 25 Fr cannula in the right common femoral vein, while a left common femoral arterial line provided pressure monitoring. This configuration offered two important advantages</w:t>
      </w:r>
      <w:r w:rsidR="00F417F6">
        <w:t xml:space="preserve"> as </w:t>
      </w:r>
      <w:r>
        <w:t>it avoided dependence on the diseased ascending aorta for arterial cannulation and preserved an antegrade pathway for cerebral perfusion.</w:t>
      </w:r>
    </w:p>
    <w:p w14:paraId="0DA2A9BA" w14:textId="77777777" w:rsidR="002932A3" w:rsidRDefault="00000000">
      <w:pPr>
        <w:pStyle w:val="Heading2"/>
      </w:pPr>
      <w:r>
        <w:t>Flow, temperature, and circuit considerations</w:t>
      </w:r>
    </w:p>
    <w:p w14:paraId="3455EAC9" w14:textId="77777777" w:rsidR="002932A3" w:rsidRDefault="00000000">
      <w:r>
        <w:t>Full CPB flow was documented at 2.2 L/min/m². With a body surface area of 1.831 m², the calculated target was approximately 4.03 L/min. Adequacy of perfusion required more than reaching the numeric target; the perfusionist also had to assess arterial pressure, venous saturation, hematocrit, temperature distribution, reservoir level, venous drainage, and communication from the operative field. The operative report described deep hypothermic circulatory arrest, while the documented cooling target was 24 °C. This temperature should therefore be reported as the case-specific target rather than generalized to all arch procedures.</w:t>
      </w:r>
    </w:p>
    <w:p w14:paraId="5F1CECEC" w14:textId="0094BA81" w:rsidR="002932A3" w:rsidRDefault="00000000">
      <w:r>
        <w:t xml:space="preserve">Tranexamic acid, albumin, and mannitol were reported as </w:t>
      </w:r>
      <w:r w:rsidR="00F417F6">
        <w:t>pre-bypass drugs that included doses of 1,000 mg of TXA, 100 mL of 25% Albumin, and 50 mL of 20% Mannitol</w:t>
      </w:r>
      <w:r w:rsidR="001F1737">
        <w:t xml:space="preserve"> as per institution protocol. </w:t>
      </w:r>
    </w:p>
    <w:p w14:paraId="73B9F3A5" w14:textId="77777777" w:rsidR="002932A3" w:rsidRDefault="00000000">
      <w:pPr>
        <w:pStyle w:val="Heading1"/>
      </w:pPr>
      <w:r>
        <w:t>Conduct of Cardiopulmonary Bypass</w:t>
      </w:r>
    </w:p>
    <w:p w14:paraId="3FC4FFF2" w14:textId="77777777" w:rsidR="002932A3" w:rsidRDefault="00000000">
      <w:pPr>
        <w:pStyle w:val="Heading2"/>
      </w:pPr>
      <w:r>
        <w:t>Initiation and cooling before chest entry</w:t>
      </w:r>
    </w:p>
    <w:p w14:paraId="039BBC43" w14:textId="76130F47" w:rsidR="002932A3" w:rsidRDefault="00000000">
      <w:r>
        <w:t>CPB began at 11:34. The patient was advanced to the indexed full-flow target and cooling was initiated before the posterior table of the sternum was entered. The posterior-table entry occurred at approximately 30 °C, with cooling continuing to 24 °C. For the perfusionist, this phase required stable venous drainage from the femoral cannula, avoidance of excessive negative venous pressure, close surveillance of reservoir volume, and confirmation that the axillary graft provided unobstructed arterial inflow.</w:t>
      </w:r>
    </w:p>
    <w:p w14:paraId="0892058C" w14:textId="77777777" w:rsidR="002932A3" w:rsidRDefault="00000000">
      <w:pPr>
        <w:pStyle w:val="Heading2"/>
      </w:pPr>
      <w:r>
        <w:t>Aortic injury during redo sternotomy</w:t>
      </w:r>
    </w:p>
    <w:p w14:paraId="64EB8FF8" w14:textId="77777777" w:rsidR="002932A3" w:rsidRDefault="00000000">
      <w:r>
        <w:t>During re-entry, the ascending aorta was found densely adherent to the sternum, and an approximately 3 cm opening developed in the aorta. The sternum was towel-clamped for temporary hemostasis while cooling was completed. The field narrative reported three suction lines increased to approximately 1 L/min each. This created an immediate perfusion challenge: returning shed blood rapidly enough to preserve circulating volume while avoiding reservoir depletion, excessive air entrainment, hemolysis, and loss of visibility from inadequate suction.</w:t>
      </w:r>
    </w:p>
    <w:p w14:paraId="3BFEFB34" w14:textId="3020E3EC" w:rsidR="002932A3" w:rsidRDefault="00000000">
      <w:r>
        <w:lastRenderedPageBreak/>
        <w:t>Cell salvage processed 1,779 mL and returned 790 mL. These data demonstrate the scale of blood conservation. The perfusionist had to continuously communicate reservoir status, suction return, venous drainage, arterial line pressure, and readiness for arrest while the surgical team controlled the aortic opening.</w:t>
      </w:r>
    </w:p>
    <w:p w14:paraId="3FF7D920" w14:textId="77777777" w:rsidR="002932A3" w:rsidRDefault="00000000">
      <w:pPr>
        <w:pStyle w:val="Heading2"/>
      </w:pPr>
      <w:r>
        <w:t>Circulatory arrest and cerebral protection</w:t>
      </w:r>
    </w:p>
    <w:p w14:paraId="2251754C" w14:textId="78D4A07C" w:rsidR="002932A3" w:rsidRDefault="00000000">
      <w:r>
        <w:t xml:space="preserve">The recorded systemic arrest interval began at 12:04 and ended at 12:20, totaling 16 minutes 31 seconds. Selective ACP began at 12:08 and continued until 12:20, with a recorded duration of 12 minutes 3 seconds. The surgeon separately reported 6 minutes of circulatory arrest without cerebral flow. These values are not contradictory; they reflect different clocks. The perfusion record measured the overall interval in which systemic circulation was interrupted, whereas the operative note highlighted the period without cerebral perfusion. </w:t>
      </w:r>
    </w:p>
    <w:p w14:paraId="2A0DA1D4" w14:textId="77777777" w:rsidR="002932A3" w:rsidRDefault="00000000">
      <w:r>
        <w:t>During ACP, the perfusionist’s priorities were to establish the correct flow pathway, prevent unintended systemic runoff, maintain the team’s target cerebral pressure and temperature, observe neuromonitoring trends when available, and announce elapsed time. The axillary graft was particularly valuable because it supplied blood in an antegrade direction toward the cerebral circulation. Current aortic guidelines support cerebral perfusion during procedures requiring arrest and recognize axillary cannulation as an important strategy when anatomy permits (Isselbacher et al., 2022).</w:t>
      </w:r>
    </w:p>
    <w:p w14:paraId="680604D9" w14:textId="77777777" w:rsidR="002932A3" w:rsidRDefault="00000000">
      <w:pPr>
        <w:pStyle w:val="Heading2"/>
      </w:pPr>
      <w:r>
        <w:t>Myocardial protection</w:t>
      </w:r>
    </w:p>
    <w:p w14:paraId="49F4F9EF" w14:textId="35DB5618" w:rsidR="002932A3" w:rsidRDefault="000916EE">
      <w:r>
        <w:t>M</w:t>
      </w:r>
      <w:r w:rsidR="00000000">
        <w:t>yocardial protection was delivered as cold blood cardioplegia directly into the coronary ostia rather than through a retrograde route. Administrations were documented beginning at 12:08, 12:25, 12:26, and 12:46, with redosing approximately every 20 minutes. The heart arrested promptly. The perfusionist was responsible for preparing and delivering the prescribed solution, confirming route and temperature, monitoring line pressure and flow, documenting each dose, and coordinating redosing with the surgeon.</w:t>
      </w:r>
    </w:p>
    <w:p w14:paraId="56251E63" w14:textId="77777777" w:rsidR="002932A3" w:rsidRDefault="00000000">
      <w:pPr>
        <w:pStyle w:val="Heading2"/>
      </w:pPr>
      <w:r>
        <w:t>Return to systemic perfusion and weaning</w:t>
      </w:r>
    </w:p>
    <w:p w14:paraId="690BB0A0" w14:textId="77777777" w:rsidR="002932A3" w:rsidRDefault="00000000">
      <w:r>
        <w:t>After the distal graft anastomosis was completed, the graft was clamped and full CPB was resumed through its sidearm. Rewarming began while the aortic valve was excised, the annulus was decalcified, the subaortic membrane was resected, the partial myectomy was completed, and the 25 mm mechanical valve was implanted. The aortic cross-clamp was removed at 12:59 after de-airing through the root vent, and sinus rhythm returned. The patient was rewarmed to 36 °C and separated from CPB at 13:14 without difficulty. Protamine was then administered for heparin reversal.</w:t>
      </w:r>
    </w:p>
    <w:p w14:paraId="0083E337" w14:textId="77777777" w:rsidR="002932A3" w:rsidRDefault="00000000">
      <w:pPr>
        <w:pStyle w:val="Heading1"/>
      </w:pPr>
      <w:r>
        <w:t>Perfusion Record Summary</w:t>
      </w:r>
    </w:p>
    <w:tbl>
      <w:tblPr>
        <w:tblStyle w:val="TableGrid"/>
        <w:tblW w:w="9360" w:type="dxa"/>
        <w:tblInd w:w="120" w:type="dxa"/>
        <w:tblLayout w:type="fixed"/>
        <w:tblLook w:val="04A0" w:firstRow="1" w:lastRow="0" w:firstColumn="1" w:lastColumn="0" w:noHBand="0" w:noVBand="1"/>
      </w:tblPr>
      <w:tblGrid>
        <w:gridCol w:w="1944"/>
        <w:gridCol w:w="2520"/>
        <w:gridCol w:w="4896"/>
      </w:tblGrid>
      <w:tr w:rsidR="002932A3" w14:paraId="7FD6496E" w14:textId="77777777">
        <w:tc>
          <w:tcPr>
            <w:tcW w:w="1944" w:type="dxa"/>
            <w:shd w:val="clear" w:color="auto" w:fill="E8EEF5"/>
            <w:tcMar>
              <w:top w:w="80" w:type="dxa"/>
              <w:left w:w="120" w:type="dxa"/>
              <w:bottom w:w="80" w:type="dxa"/>
              <w:right w:w="120" w:type="dxa"/>
            </w:tcMar>
            <w:vAlign w:val="center"/>
          </w:tcPr>
          <w:p w14:paraId="5EB05679" w14:textId="77777777" w:rsidR="002932A3" w:rsidRDefault="00000000">
            <w:pPr>
              <w:spacing w:after="0" w:line="240" w:lineRule="auto"/>
            </w:pPr>
            <w:r>
              <w:rPr>
                <w:b/>
                <w:color w:val="17364D"/>
                <w:sz w:val="20"/>
              </w:rPr>
              <w:t>Event</w:t>
            </w:r>
          </w:p>
        </w:tc>
        <w:tc>
          <w:tcPr>
            <w:tcW w:w="2520" w:type="dxa"/>
            <w:shd w:val="clear" w:color="auto" w:fill="E8EEF5"/>
            <w:tcMar>
              <w:top w:w="80" w:type="dxa"/>
              <w:left w:w="120" w:type="dxa"/>
              <w:bottom w:w="80" w:type="dxa"/>
              <w:right w:w="120" w:type="dxa"/>
            </w:tcMar>
            <w:vAlign w:val="center"/>
          </w:tcPr>
          <w:p w14:paraId="2DF24137" w14:textId="77777777" w:rsidR="002932A3" w:rsidRDefault="00000000">
            <w:pPr>
              <w:spacing w:after="0" w:line="240" w:lineRule="auto"/>
            </w:pPr>
            <w:r>
              <w:rPr>
                <w:b/>
                <w:color w:val="17364D"/>
                <w:sz w:val="20"/>
              </w:rPr>
              <w:t>Recorded time or duration</w:t>
            </w:r>
          </w:p>
        </w:tc>
        <w:tc>
          <w:tcPr>
            <w:tcW w:w="4896" w:type="dxa"/>
            <w:shd w:val="clear" w:color="auto" w:fill="E8EEF5"/>
            <w:tcMar>
              <w:top w:w="80" w:type="dxa"/>
              <w:left w:w="120" w:type="dxa"/>
              <w:bottom w:w="80" w:type="dxa"/>
              <w:right w:w="120" w:type="dxa"/>
            </w:tcMar>
            <w:vAlign w:val="center"/>
          </w:tcPr>
          <w:p w14:paraId="41BCB771" w14:textId="77777777" w:rsidR="002932A3" w:rsidRDefault="00000000">
            <w:pPr>
              <w:spacing w:after="0" w:line="240" w:lineRule="auto"/>
            </w:pPr>
            <w:r>
              <w:rPr>
                <w:b/>
                <w:color w:val="17364D"/>
                <w:sz w:val="20"/>
              </w:rPr>
              <w:t>Perfusion significance</w:t>
            </w:r>
          </w:p>
        </w:tc>
      </w:tr>
      <w:tr w:rsidR="002932A3" w14:paraId="6C90B924" w14:textId="77777777">
        <w:tc>
          <w:tcPr>
            <w:tcW w:w="1944" w:type="dxa"/>
            <w:tcMar>
              <w:top w:w="80" w:type="dxa"/>
              <w:left w:w="120" w:type="dxa"/>
              <w:bottom w:w="80" w:type="dxa"/>
              <w:right w:w="120" w:type="dxa"/>
            </w:tcMar>
            <w:vAlign w:val="center"/>
          </w:tcPr>
          <w:p w14:paraId="5ACC09EE" w14:textId="77777777" w:rsidR="002932A3" w:rsidRDefault="00000000">
            <w:pPr>
              <w:spacing w:after="0" w:line="240" w:lineRule="auto"/>
            </w:pPr>
            <w:r>
              <w:rPr>
                <w:sz w:val="19"/>
              </w:rPr>
              <w:t>CPB</w:t>
            </w:r>
          </w:p>
        </w:tc>
        <w:tc>
          <w:tcPr>
            <w:tcW w:w="2520" w:type="dxa"/>
            <w:tcMar>
              <w:top w:w="80" w:type="dxa"/>
              <w:left w:w="120" w:type="dxa"/>
              <w:bottom w:w="80" w:type="dxa"/>
              <w:right w:w="120" w:type="dxa"/>
            </w:tcMar>
            <w:vAlign w:val="center"/>
          </w:tcPr>
          <w:p w14:paraId="60A5CACC" w14:textId="77777777" w:rsidR="002932A3" w:rsidRDefault="00000000">
            <w:pPr>
              <w:spacing w:after="0" w:line="240" w:lineRule="auto"/>
            </w:pPr>
            <w:r>
              <w:rPr>
                <w:sz w:val="19"/>
              </w:rPr>
              <w:t>11:34-13:14; 100 min</w:t>
            </w:r>
          </w:p>
        </w:tc>
        <w:tc>
          <w:tcPr>
            <w:tcW w:w="4896" w:type="dxa"/>
            <w:tcMar>
              <w:top w:w="80" w:type="dxa"/>
              <w:left w:w="120" w:type="dxa"/>
              <w:bottom w:w="80" w:type="dxa"/>
              <w:right w:w="120" w:type="dxa"/>
            </w:tcMar>
            <w:vAlign w:val="center"/>
          </w:tcPr>
          <w:p w14:paraId="5361DE0F" w14:textId="77777777" w:rsidR="002932A3" w:rsidRDefault="00000000">
            <w:pPr>
              <w:spacing w:after="0" w:line="240" w:lineRule="auto"/>
            </w:pPr>
            <w:r>
              <w:rPr>
                <w:sz w:val="19"/>
              </w:rPr>
              <w:t>Full systemic support, cooling, arrest transition, rewarming, and weaning</w:t>
            </w:r>
          </w:p>
        </w:tc>
      </w:tr>
      <w:tr w:rsidR="002932A3" w14:paraId="5E3243DA" w14:textId="77777777">
        <w:tc>
          <w:tcPr>
            <w:tcW w:w="1944" w:type="dxa"/>
            <w:tcMar>
              <w:top w:w="80" w:type="dxa"/>
              <w:left w:w="120" w:type="dxa"/>
              <w:bottom w:w="80" w:type="dxa"/>
              <w:right w:w="120" w:type="dxa"/>
            </w:tcMar>
            <w:vAlign w:val="center"/>
          </w:tcPr>
          <w:p w14:paraId="071B962A" w14:textId="77777777" w:rsidR="002932A3" w:rsidRDefault="00000000">
            <w:pPr>
              <w:spacing w:after="0" w:line="240" w:lineRule="auto"/>
            </w:pPr>
            <w:r>
              <w:rPr>
                <w:sz w:val="19"/>
              </w:rPr>
              <w:t>Temperature management</w:t>
            </w:r>
          </w:p>
        </w:tc>
        <w:tc>
          <w:tcPr>
            <w:tcW w:w="2520" w:type="dxa"/>
            <w:tcMar>
              <w:top w:w="80" w:type="dxa"/>
              <w:left w:w="120" w:type="dxa"/>
              <w:bottom w:w="80" w:type="dxa"/>
              <w:right w:w="120" w:type="dxa"/>
            </w:tcMar>
            <w:vAlign w:val="center"/>
          </w:tcPr>
          <w:p w14:paraId="485C74F1" w14:textId="77777777" w:rsidR="002932A3" w:rsidRDefault="00000000">
            <w:pPr>
              <w:spacing w:after="0" w:line="240" w:lineRule="auto"/>
            </w:pPr>
            <w:r>
              <w:rPr>
                <w:sz w:val="19"/>
              </w:rPr>
              <w:t>45 min 39 sec</w:t>
            </w:r>
          </w:p>
        </w:tc>
        <w:tc>
          <w:tcPr>
            <w:tcW w:w="4896" w:type="dxa"/>
            <w:tcMar>
              <w:top w:w="80" w:type="dxa"/>
              <w:left w:w="120" w:type="dxa"/>
              <w:bottom w:w="80" w:type="dxa"/>
              <w:right w:w="120" w:type="dxa"/>
            </w:tcMar>
            <w:vAlign w:val="center"/>
          </w:tcPr>
          <w:p w14:paraId="1DFF176C" w14:textId="77777777" w:rsidR="002932A3" w:rsidRDefault="00000000">
            <w:pPr>
              <w:spacing w:after="0" w:line="240" w:lineRule="auto"/>
            </w:pPr>
            <w:r>
              <w:rPr>
                <w:sz w:val="19"/>
              </w:rPr>
              <w:t>Cooling before re-entry and rewarming after distal reconstruction</w:t>
            </w:r>
          </w:p>
        </w:tc>
      </w:tr>
      <w:tr w:rsidR="002932A3" w14:paraId="7F71E68A" w14:textId="77777777">
        <w:tc>
          <w:tcPr>
            <w:tcW w:w="1944" w:type="dxa"/>
            <w:tcMar>
              <w:top w:w="80" w:type="dxa"/>
              <w:left w:w="120" w:type="dxa"/>
              <w:bottom w:w="80" w:type="dxa"/>
              <w:right w:w="120" w:type="dxa"/>
            </w:tcMar>
            <w:vAlign w:val="center"/>
          </w:tcPr>
          <w:p w14:paraId="4961F62F" w14:textId="77777777" w:rsidR="002932A3" w:rsidRDefault="00000000">
            <w:pPr>
              <w:spacing w:after="0" w:line="240" w:lineRule="auto"/>
            </w:pPr>
            <w:r>
              <w:rPr>
                <w:sz w:val="19"/>
              </w:rPr>
              <w:lastRenderedPageBreak/>
              <w:t>Aortic cross-clamp</w:t>
            </w:r>
          </w:p>
        </w:tc>
        <w:tc>
          <w:tcPr>
            <w:tcW w:w="2520" w:type="dxa"/>
            <w:tcMar>
              <w:top w:w="80" w:type="dxa"/>
              <w:left w:w="120" w:type="dxa"/>
              <w:bottom w:w="80" w:type="dxa"/>
              <w:right w:w="120" w:type="dxa"/>
            </w:tcMar>
            <w:vAlign w:val="center"/>
          </w:tcPr>
          <w:p w14:paraId="4E2E49CE" w14:textId="77777777" w:rsidR="002932A3" w:rsidRDefault="00000000">
            <w:pPr>
              <w:spacing w:after="0" w:line="240" w:lineRule="auto"/>
            </w:pPr>
            <w:r>
              <w:rPr>
                <w:sz w:val="19"/>
              </w:rPr>
              <w:t>12:04-12:59; 55 min 3 sec</w:t>
            </w:r>
          </w:p>
        </w:tc>
        <w:tc>
          <w:tcPr>
            <w:tcW w:w="4896" w:type="dxa"/>
            <w:tcMar>
              <w:top w:w="80" w:type="dxa"/>
              <w:left w:w="120" w:type="dxa"/>
              <w:bottom w:w="80" w:type="dxa"/>
              <w:right w:w="120" w:type="dxa"/>
            </w:tcMar>
            <w:vAlign w:val="center"/>
          </w:tcPr>
          <w:p w14:paraId="60D250C8" w14:textId="77777777" w:rsidR="002932A3" w:rsidRDefault="00000000">
            <w:pPr>
              <w:spacing w:after="0" w:line="240" w:lineRule="auto"/>
            </w:pPr>
            <w:r>
              <w:rPr>
                <w:sz w:val="19"/>
              </w:rPr>
              <w:t>Myocardial ischemic interval requiring scheduled cardioplegia</w:t>
            </w:r>
          </w:p>
        </w:tc>
      </w:tr>
      <w:tr w:rsidR="002932A3" w14:paraId="5BBCBF4E" w14:textId="77777777">
        <w:tc>
          <w:tcPr>
            <w:tcW w:w="1944" w:type="dxa"/>
            <w:tcMar>
              <w:top w:w="80" w:type="dxa"/>
              <w:left w:w="120" w:type="dxa"/>
              <w:bottom w:w="80" w:type="dxa"/>
              <w:right w:w="120" w:type="dxa"/>
            </w:tcMar>
            <w:vAlign w:val="center"/>
          </w:tcPr>
          <w:p w14:paraId="4FA62CD3" w14:textId="77777777" w:rsidR="002932A3" w:rsidRDefault="00000000">
            <w:pPr>
              <w:spacing w:after="0" w:line="240" w:lineRule="auto"/>
            </w:pPr>
            <w:r>
              <w:rPr>
                <w:sz w:val="19"/>
              </w:rPr>
              <w:t>Systemic arrest interval</w:t>
            </w:r>
          </w:p>
        </w:tc>
        <w:tc>
          <w:tcPr>
            <w:tcW w:w="2520" w:type="dxa"/>
            <w:tcMar>
              <w:top w:w="80" w:type="dxa"/>
              <w:left w:w="120" w:type="dxa"/>
              <w:bottom w:w="80" w:type="dxa"/>
              <w:right w:w="120" w:type="dxa"/>
            </w:tcMar>
            <w:vAlign w:val="center"/>
          </w:tcPr>
          <w:p w14:paraId="35127BAF" w14:textId="77777777" w:rsidR="002932A3" w:rsidRDefault="00000000">
            <w:pPr>
              <w:spacing w:after="0" w:line="240" w:lineRule="auto"/>
            </w:pPr>
            <w:r>
              <w:rPr>
                <w:sz w:val="19"/>
              </w:rPr>
              <w:t>12:04-12:20; 16 min 31 sec</w:t>
            </w:r>
          </w:p>
        </w:tc>
        <w:tc>
          <w:tcPr>
            <w:tcW w:w="4896" w:type="dxa"/>
            <w:tcMar>
              <w:top w:w="80" w:type="dxa"/>
              <w:left w:w="120" w:type="dxa"/>
              <w:bottom w:w="80" w:type="dxa"/>
              <w:right w:w="120" w:type="dxa"/>
            </w:tcMar>
            <w:vAlign w:val="center"/>
          </w:tcPr>
          <w:p w14:paraId="211FCB08" w14:textId="77777777" w:rsidR="002932A3" w:rsidRDefault="00000000">
            <w:pPr>
              <w:spacing w:after="0" w:line="240" w:lineRule="auto"/>
            </w:pPr>
            <w:r>
              <w:rPr>
                <w:sz w:val="19"/>
              </w:rPr>
              <w:t>Open distal aortic work without full-body perfusion</w:t>
            </w:r>
          </w:p>
        </w:tc>
      </w:tr>
      <w:tr w:rsidR="002932A3" w14:paraId="6E87B752" w14:textId="77777777">
        <w:tc>
          <w:tcPr>
            <w:tcW w:w="1944" w:type="dxa"/>
            <w:tcMar>
              <w:top w:w="80" w:type="dxa"/>
              <w:left w:w="120" w:type="dxa"/>
              <w:bottom w:w="80" w:type="dxa"/>
              <w:right w:w="120" w:type="dxa"/>
            </w:tcMar>
            <w:vAlign w:val="center"/>
          </w:tcPr>
          <w:p w14:paraId="73040586" w14:textId="77777777" w:rsidR="002932A3" w:rsidRDefault="00000000">
            <w:pPr>
              <w:spacing w:after="0" w:line="240" w:lineRule="auto"/>
            </w:pPr>
            <w:r>
              <w:rPr>
                <w:sz w:val="19"/>
              </w:rPr>
              <w:t>Selective ACP</w:t>
            </w:r>
          </w:p>
        </w:tc>
        <w:tc>
          <w:tcPr>
            <w:tcW w:w="2520" w:type="dxa"/>
            <w:tcMar>
              <w:top w:w="80" w:type="dxa"/>
              <w:left w:w="120" w:type="dxa"/>
              <w:bottom w:w="80" w:type="dxa"/>
              <w:right w:w="120" w:type="dxa"/>
            </w:tcMar>
            <w:vAlign w:val="center"/>
          </w:tcPr>
          <w:p w14:paraId="7C54DEFC" w14:textId="77777777" w:rsidR="002932A3" w:rsidRDefault="00000000">
            <w:pPr>
              <w:spacing w:after="0" w:line="240" w:lineRule="auto"/>
            </w:pPr>
            <w:r>
              <w:rPr>
                <w:sz w:val="19"/>
              </w:rPr>
              <w:t>12:08-12:20; 12 min 3 sec</w:t>
            </w:r>
          </w:p>
        </w:tc>
        <w:tc>
          <w:tcPr>
            <w:tcW w:w="4896" w:type="dxa"/>
            <w:tcMar>
              <w:top w:w="80" w:type="dxa"/>
              <w:left w:w="120" w:type="dxa"/>
              <w:bottom w:w="80" w:type="dxa"/>
              <w:right w:w="120" w:type="dxa"/>
            </w:tcMar>
            <w:vAlign w:val="center"/>
          </w:tcPr>
          <w:p w14:paraId="5EFB6CBF" w14:textId="77777777" w:rsidR="002932A3" w:rsidRDefault="00000000">
            <w:pPr>
              <w:spacing w:after="0" w:line="240" w:lineRule="auto"/>
            </w:pPr>
            <w:r>
              <w:rPr>
                <w:sz w:val="19"/>
              </w:rPr>
              <w:t>Brain-directed antegrade flow through axillary access</w:t>
            </w:r>
          </w:p>
        </w:tc>
      </w:tr>
      <w:tr w:rsidR="002932A3" w14:paraId="416DFB2A" w14:textId="77777777">
        <w:tc>
          <w:tcPr>
            <w:tcW w:w="1944" w:type="dxa"/>
            <w:tcMar>
              <w:top w:w="80" w:type="dxa"/>
              <w:left w:w="120" w:type="dxa"/>
              <w:bottom w:w="80" w:type="dxa"/>
              <w:right w:w="120" w:type="dxa"/>
            </w:tcMar>
            <w:vAlign w:val="center"/>
          </w:tcPr>
          <w:p w14:paraId="6790C01E" w14:textId="77777777" w:rsidR="002932A3" w:rsidRDefault="00000000">
            <w:pPr>
              <w:spacing w:after="0" w:line="240" w:lineRule="auto"/>
            </w:pPr>
            <w:r>
              <w:rPr>
                <w:sz w:val="19"/>
              </w:rPr>
              <w:t>No-flow arrest</w:t>
            </w:r>
          </w:p>
        </w:tc>
        <w:tc>
          <w:tcPr>
            <w:tcW w:w="2520" w:type="dxa"/>
            <w:tcMar>
              <w:top w:w="80" w:type="dxa"/>
              <w:left w:w="120" w:type="dxa"/>
              <w:bottom w:w="80" w:type="dxa"/>
              <w:right w:w="120" w:type="dxa"/>
            </w:tcMar>
            <w:vAlign w:val="center"/>
          </w:tcPr>
          <w:p w14:paraId="37273E81" w14:textId="77777777" w:rsidR="002932A3" w:rsidRDefault="00000000">
            <w:pPr>
              <w:spacing w:after="0" w:line="240" w:lineRule="auto"/>
            </w:pPr>
            <w:r>
              <w:rPr>
                <w:sz w:val="19"/>
              </w:rPr>
              <w:t>6 min in operative report</w:t>
            </w:r>
          </w:p>
        </w:tc>
        <w:tc>
          <w:tcPr>
            <w:tcW w:w="4896" w:type="dxa"/>
            <w:tcMar>
              <w:top w:w="80" w:type="dxa"/>
              <w:left w:w="120" w:type="dxa"/>
              <w:bottom w:w="80" w:type="dxa"/>
              <w:right w:w="120" w:type="dxa"/>
            </w:tcMar>
            <w:vAlign w:val="center"/>
          </w:tcPr>
          <w:p w14:paraId="77959B26" w14:textId="77777777" w:rsidR="002932A3" w:rsidRDefault="00000000">
            <w:pPr>
              <w:spacing w:after="0" w:line="240" w:lineRule="auto"/>
            </w:pPr>
            <w:r>
              <w:rPr>
                <w:sz w:val="19"/>
              </w:rPr>
              <w:t>Period specifically reported without cerebral perfusion</w:t>
            </w:r>
          </w:p>
        </w:tc>
      </w:tr>
      <w:tr w:rsidR="002932A3" w14:paraId="1D15A0C1" w14:textId="77777777">
        <w:tc>
          <w:tcPr>
            <w:tcW w:w="1944" w:type="dxa"/>
            <w:tcMar>
              <w:top w:w="80" w:type="dxa"/>
              <w:left w:w="120" w:type="dxa"/>
              <w:bottom w:w="80" w:type="dxa"/>
              <w:right w:w="120" w:type="dxa"/>
            </w:tcMar>
            <w:vAlign w:val="center"/>
          </w:tcPr>
          <w:p w14:paraId="33494590" w14:textId="77777777" w:rsidR="002932A3" w:rsidRDefault="00000000">
            <w:pPr>
              <w:spacing w:after="0" w:line="240" w:lineRule="auto"/>
            </w:pPr>
            <w:r>
              <w:rPr>
                <w:sz w:val="19"/>
              </w:rPr>
              <w:t>Cell salvage</w:t>
            </w:r>
          </w:p>
        </w:tc>
        <w:tc>
          <w:tcPr>
            <w:tcW w:w="2520" w:type="dxa"/>
            <w:tcMar>
              <w:top w:w="80" w:type="dxa"/>
              <w:left w:w="120" w:type="dxa"/>
              <w:bottom w:w="80" w:type="dxa"/>
              <w:right w:w="120" w:type="dxa"/>
            </w:tcMar>
            <w:vAlign w:val="center"/>
          </w:tcPr>
          <w:p w14:paraId="1CFE6DD8" w14:textId="77777777" w:rsidR="002932A3" w:rsidRDefault="00000000">
            <w:pPr>
              <w:spacing w:after="0" w:line="240" w:lineRule="auto"/>
            </w:pPr>
            <w:r>
              <w:rPr>
                <w:sz w:val="19"/>
              </w:rPr>
              <w:t>1,779 mL processed; 790 mL returned</w:t>
            </w:r>
          </w:p>
        </w:tc>
        <w:tc>
          <w:tcPr>
            <w:tcW w:w="4896" w:type="dxa"/>
            <w:tcMar>
              <w:top w:w="80" w:type="dxa"/>
              <w:left w:w="120" w:type="dxa"/>
              <w:bottom w:w="80" w:type="dxa"/>
              <w:right w:w="120" w:type="dxa"/>
            </w:tcMar>
            <w:vAlign w:val="center"/>
          </w:tcPr>
          <w:p w14:paraId="67C8CAB6" w14:textId="77777777" w:rsidR="002932A3" w:rsidRDefault="00000000">
            <w:pPr>
              <w:spacing w:after="0" w:line="240" w:lineRule="auto"/>
            </w:pPr>
            <w:r>
              <w:rPr>
                <w:sz w:val="19"/>
              </w:rPr>
              <w:t>Adjunct to volume and blood conservation during re-entry bleeding</w:t>
            </w:r>
          </w:p>
        </w:tc>
      </w:tr>
    </w:tbl>
    <w:p w14:paraId="61C4D085" w14:textId="77777777" w:rsidR="002932A3" w:rsidRDefault="002932A3">
      <w:pPr>
        <w:spacing w:after="0"/>
      </w:pPr>
    </w:p>
    <w:p w14:paraId="5680784C" w14:textId="77777777" w:rsidR="002932A3" w:rsidRDefault="00000000">
      <w:pPr>
        <w:pStyle w:val="Heading1"/>
      </w:pPr>
      <w:r>
        <w:t>Discussion: The Perfusionist’s Role</w:t>
      </w:r>
    </w:p>
    <w:p w14:paraId="1993F0BA" w14:textId="77777777" w:rsidR="002932A3" w:rsidRDefault="00000000">
      <w:pPr>
        <w:pStyle w:val="Heading2"/>
      </w:pPr>
      <w:r>
        <w:t>Anticipation and readiness</w:t>
      </w:r>
    </w:p>
    <w:p w14:paraId="5B86BF60" w14:textId="1F2A1134" w:rsidR="002932A3" w:rsidRDefault="00000000">
      <w:r>
        <w:t>The most important perfusion decision occurred before bypass</w:t>
      </w:r>
      <w:r w:rsidR="00705F44">
        <w:t xml:space="preserve"> of</w:t>
      </w:r>
      <w:r>
        <w:t xml:space="preserve"> accepting that redo entry could not be treated like a routine sternotomy. Establishing axillary inflow and femoral venous drainage before incision allowed the team to cool and fully support the patient before encountering the adherent aorta. The perfusionist had to prepare for rapid initiation, adequate venous return from a peripheral cannula, multiple suction sources, cell-saver coordination, and immediate transition to arrest.</w:t>
      </w:r>
    </w:p>
    <w:p w14:paraId="5B689B5E" w14:textId="77777777" w:rsidR="002932A3" w:rsidRDefault="00000000">
      <w:pPr>
        <w:pStyle w:val="Heading2"/>
      </w:pPr>
      <w:r>
        <w:t>Dynamic management of competing priorities</w:t>
      </w:r>
    </w:p>
    <w:p w14:paraId="571D48A7" w14:textId="4218D05E" w:rsidR="002932A3" w:rsidRDefault="00000000">
      <w:r>
        <w:t>Once bleeding occurred, the perfusionist balanced several competing goals. High suction return was necessary to preserve circulating volume, yet aggressive suction increases the risks of air entrainment, blood trauma, and loss of reservoir control. Cooling needed to continue without producing a dangerous temperature gradient. Flow had to remain sufficient despite changing preload and surgical manipulation. These tasks depended on short, specific communication</w:t>
      </w:r>
      <w:r w:rsidR="00705F44">
        <w:t xml:space="preserve"> of </w:t>
      </w:r>
      <w:r>
        <w:t>current flow, pressure, temperature, reservoir level, suction return, hematocrit, and readiness for arrest.</w:t>
      </w:r>
    </w:p>
    <w:p w14:paraId="197910E7" w14:textId="77777777" w:rsidR="002932A3" w:rsidRDefault="00000000">
      <w:pPr>
        <w:pStyle w:val="Heading2"/>
      </w:pPr>
      <w:r>
        <w:t>Protection during changing flow states</w:t>
      </w:r>
    </w:p>
    <w:p w14:paraId="548A266A" w14:textId="77777777" w:rsidR="002932A3" w:rsidRDefault="00000000">
      <w:r>
        <w:t>The transition from full CPB to systemic arrest and then to selective ACP is a high-risk handoff. A perfusionist must confirm clamps and line routing, reduce or redirect flow only on command, verify cerebral perfusion parameters, and record the exact start and stop times. The distinction between a 16:31 arrest interval, 12:03 of ACP, and 6 minutes of no-flow arrest demonstrates why precise terminology matters. A single “circulatory arrest time” can conceal clinically meaningful differences in organ protection.</w:t>
      </w:r>
    </w:p>
    <w:p w14:paraId="52F088B3" w14:textId="77777777" w:rsidR="002932A3" w:rsidRDefault="00000000">
      <w:pPr>
        <w:pStyle w:val="Heading2"/>
      </w:pPr>
      <w:r>
        <w:t>Myocardial protection and documentation</w:t>
      </w:r>
    </w:p>
    <w:p w14:paraId="70B90CD9" w14:textId="77777777" w:rsidR="002932A3" w:rsidRDefault="00000000">
      <w:r>
        <w:t xml:space="preserve">Direct ostial cardioplegia was suited to the open aortic field. Because the route differed from the initial narrative, the case also illustrates the importance of using the pump record and operative report to confirm technique. Perfusion documentation should capture dose time, route, type, temperature, flow, </w:t>
      </w:r>
      <w:r>
        <w:lastRenderedPageBreak/>
        <w:t>pressure, and volume. Clear documentation supports clinical review and prevents inaccurate reconstruction of the case.</w:t>
      </w:r>
    </w:p>
    <w:p w14:paraId="062EC829" w14:textId="77777777" w:rsidR="002932A3" w:rsidRDefault="00000000">
      <w:pPr>
        <w:pStyle w:val="Heading2"/>
      </w:pPr>
      <w:r>
        <w:t>Rewarming and separation from bypass</w:t>
      </w:r>
    </w:p>
    <w:p w14:paraId="4BC192F4" w14:textId="77777777" w:rsidR="002932A3" w:rsidRDefault="00000000">
      <w:r>
        <w:t>Rewarming after hypothermic arrest requires controlled heat transfer, avoidance of excessive blood-to-patient temperature gradients, and confirmation that all monitored sites approach the team’s target. During separation, the perfusionist assesses rhythm, filling, ventilation, arterial pressure, temperature, acid-base status, electrolytes, hematocrit, and the response to volume administration. Successful separation without difficulty suggests that the protection strategy and staged restoration of flow were effective, although postoperative neurologic, renal, bleeding, and transfusion outcomes were not available for analysis.</w:t>
      </w:r>
    </w:p>
    <w:p w14:paraId="6DAE051F" w14:textId="77777777" w:rsidR="002932A3" w:rsidRDefault="00000000">
      <w:pPr>
        <w:pStyle w:val="Heading1"/>
      </w:pPr>
      <w:r>
        <w:t>Conclusion</w:t>
      </w:r>
    </w:p>
    <w:p w14:paraId="4807551F" w14:textId="34F19DD9" w:rsidR="002932A3" w:rsidRDefault="00000000">
      <w:r>
        <w:t>This case demonstrates how the perfusionist can convert a predicted catastrophic re-entry into a controlled sequence of support and organ protection. Peripheral CPB allowed cooling and full flow before sternotomy</w:t>
      </w:r>
      <w:r w:rsidR="00705F44">
        <w:t>,</w:t>
      </w:r>
      <w:r>
        <w:t xml:space="preserve"> right axillary inflow supported selective ACP</w:t>
      </w:r>
      <w:r w:rsidR="00705F44">
        <w:t xml:space="preserve">, </w:t>
      </w:r>
      <w:r>
        <w:t>rapid suction and cell salvage assisted blood conservation</w:t>
      </w:r>
      <w:r w:rsidR="00705F44">
        <w:t>,</w:t>
      </w:r>
      <w:r>
        <w:t xml:space="preserve"> direct ostial cardioplegia protected the myocardium</w:t>
      </w:r>
      <w:r w:rsidR="00705F44">
        <w:t xml:space="preserve">, </w:t>
      </w:r>
      <w:r>
        <w:t>and graft-sidearm perfusion enabled rewarming and definitive intracardiac repair. The patient separated from CPB successfully after 100 minutes. The key lesson is that high-risk aortic perfusion depends on preparation, precise flow-state transitions, disciplined communication, and accurate documentation as much as it depends on the circuit itself.</w:t>
      </w:r>
    </w:p>
    <w:p w14:paraId="5C595E9A" w14:textId="77777777" w:rsidR="002932A3" w:rsidRDefault="00000000">
      <w:pPr>
        <w:pStyle w:val="Heading1"/>
      </w:pPr>
      <w:r>
        <w:t>References</w:t>
      </w:r>
    </w:p>
    <w:p w14:paraId="6B8F19B4" w14:textId="77777777" w:rsidR="002932A3" w:rsidRDefault="00000000">
      <w:pPr>
        <w:spacing w:after="160"/>
        <w:ind w:left="720" w:hanging="720"/>
      </w:pPr>
      <w:r>
        <w:rPr>
          <w:sz w:val="20"/>
        </w:rPr>
        <w:t>Etnel, J. R. G., Takkenberg, J. J. M., Spaans, L. G., Bogers, A. J. J. C., &amp; Helbing, W. A. (2015). Paediatric subvalvular aortic stenosis: A systematic review and meta-analysis of natural history and surgical outcome. European Journal of Cardio-Thoracic Surgery, 48(2), 212-220. https://doi.org/10.1093/ejcts/ezu423</w:t>
      </w:r>
    </w:p>
    <w:p w14:paraId="6BD9ED79" w14:textId="77777777" w:rsidR="002932A3" w:rsidRDefault="00000000">
      <w:pPr>
        <w:spacing w:after="160"/>
        <w:ind w:left="720" w:hanging="720"/>
      </w:pPr>
      <w:r>
        <w:rPr>
          <w:sz w:val="20"/>
        </w:rPr>
        <w:t>Isselbacher, E. M., Preventza, O., Black, J. H., III, et al. (2022). 2022 ACC/AHA guideline for the diagnosis and management of aortic disease. Journal of the American College of Cardiology, 80(24), e223-e393. https://doi.org/10.1016/j.jacc.2022.08.004</w:t>
      </w:r>
    </w:p>
    <w:p w14:paraId="22782821" w14:textId="77777777" w:rsidR="002932A3" w:rsidRDefault="00000000">
      <w:pPr>
        <w:spacing w:after="160"/>
        <w:ind w:left="720" w:hanging="720"/>
      </w:pPr>
      <w:r>
        <w:rPr>
          <w:sz w:val="20"/>
        </w:rPr>
        <w:t>Vahanian, A., Beyersdorf, F., Praz, F., et al. (2022). 2021 ESC/EACTS guidelines for the management of valvular heart disease. European Heart Journal, 43(7), 561-632. https://doi.org/10.1093/eurheartj/ehab395</w:t>
      </w:r>
    </w:p>
    <w:p w14:paraId="76A8467D" w14:textId="77777777" w:rsidR="002932A3" w:rsidRDefault="00000000">
      <w:pPr>
        <w:spacing w:after="160"/>
        <w:ind w:left="720" w:hanging="720"/>
      </w:pPr>
      <w:r>
        <w:rPr>
          <w:sz w:val="20"/>
        </w:rPr>
        <w:t>Wahba, A., Kunst, G., De Somer, F., et al. (2025). 2024 EACTS/EACTAIC/EBCP guidelines on cardiopulmonary bypass in adult cardiac surgery. European Journal of Cardio-Thoracic Surgery, 67(2), ezae354. https://doi.org/10.1093/ejcts/ezae354</w:t>
      </w:r>
    </w:p>
    <w:sectPr w:rsidR="002932A3">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9DBC" w14:textId="77777777" w:rsidR="003F4074" w:rsidRDefault="003F4074">
      <w:pPr>
        <w:spacing w:after="0" w:line="240" w:lineRule="auto"/>
      </w:pPr>
      <w:r>
        <w:separator/>
      </w:r>
    </w:p>
  </w:endnote>
  <w:endnote w:type="continuationSeparator" w:id="0">
    <w:p w14:paraId="3FBA9831" w14:textId="77777777" w:rsidR="003F4074" w:rsidRDefault="003F4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D10C" w14:textId="77777777" w:rsidR="002932A3" w:rsidRDefault="00000000">
    <w:pPr>
      <w:pStyle w:val="Footer"/>
      <w:jc w:val="right"/>
    </w:pPr>
    <w:r>
      <w:rPr>
        <w:color w:val="59656D"/>
        <w:sz w:val="18"/>
      </w:rPr>
      <w:fldChar w:fldCharType="begin"/>
    </w:r>
    <w:r>
      <w:rPr>
        <w:color w:val="59656D"/>
        <w:sz w:val="18"/>
      </w:rPr>
      <w:instrText xml:space="preserve"> PAGE </w:instrText>
    </w:r>
    <w:r w:rsidR="008212B9">
      <w:rPr>
        <w:color w:val="59656D"/>
        <w:sz w:val="18"/>
      </w:rPr>
      <w:fldChar w:fldCharType="separate"/>
    </w:r>
    <w:r w:rsidR="008212B9">
      <w:rPr>
        <w:noProof/>
        <w:color w:val="59656D"/>
        <w:sz w:val="18"/>
      </w:rPr>
      <w:t>1</w:t>
    </w:r>
    <w:r>
      <w:rPr>
        <w:color w:val="5965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F54DD" w14:textId="77777777" w:rsidR="003F4074" w:rsidRDefault="003F4074">
      <w:pPr>
        <w:spacing w:after="0" w:line="240" w:lineRule="auto"/>
      </w:pPr>
      <w:r>
        <w:separator/>
      </w:r>
    </w:p>
  </w:footnote>
  <w:footnote w:type="continuationSeparator" w:id="0">
    <w:p w14:paraId="46E5715F" w14:textId="77777777" w:rsidR="003F4074" w:rsidRDefault="003F4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990"/>
        </w:tabs>
        <w:ind w:left="990" w:hanging="360"/>
      </w:pPr>
      <w:rPr>
        <w:rFonts w:ascii="Symbol" w:hAnsi="Symbol" w:hint="default"/>
      </w:rPr>
    </w:lvl>
  </w:abstractNum>
  <w:num w:numId="1" w16cid:durableId="742067172">
    <w:abstractNumId w:val="8"/>
  </w:num>
  <w:num w:numId="2" w16cid:durableId="1576474877">
    <w:abstractNumId w:val="6"/>
  </w:num>
  <w:num w:numId="3" w16cid:durableId="1569994444">
    <w:abstractNumId w:val="5"/>
  </w:num>
  <w:num w:numId="4" w16cid:durableId="575289691">
    <w:abstractNumId w:val="4"/>
  </w:num>
  <w:num w:numId="5" w16cid:durableId="1088230029">
    <w:abstractNumId w:val="7"/>
  </w:num>
  <w:num w:numId="6" w16cid:durableId="491683636">
    <w:abstractNumId w:val="3"/>
  </w:num>
  <w:num w:numId="7" w16cid:durableId="1212886005">
    <w:abstractNumId w:val="2"/>
  </w:num>
  <w:num w:numId="8" w16cid:durableId="1314916696">
    <w:abstractNumId w:val="1"/>
  </w:num>
  <w:num w:numId="9" w16cid:durableId="11968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EE"/>
    <w:rsid w:val="0015074B"/>
    <w:rsid w:val="001F1737"/>
    <w:rsid w:val="002932A3"/>
    <w:rsid w:val="0029639D"/>
    <w:rsid w:val="00326F90"/>
    <w:rsid w:val="003F4074"/>
    <w:rsid w:val="00635CF2"/>
    <w:rsid w:val="00691CA5"/>
    <w:rsid w:val="00705F44"/>
    <w:rsid w:val="008212B9"/>
    <w:rsid w:val="00AA1D8D"/>
    <w:rsid w:val="00B47730"/>
    <w:rsid w:val="00C71BE6"/>
    <w:rsid w:val="00CB0664"/>
    <w:rsid w:val="00F2339E"/>
    <w:rsid w:val="00F417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34A74"/>
  <w14:defaultImageDpi w14:val="300"/>
  <w15:docId w15:val="{2C73E4D5-7BF6-4FA3-8F6C-F6ADC482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ead">
    <w:name w:val="Case Lead"/>
    <w:pPr>
      <w:spacing w:after="160"/>
    </w:pPr>
    <w:rPr>
      <w:rFonts w:ascii="Calibri" w:hAnsi="Calibri"/>
      <w:b/>
      <w:color w:val="17364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2442</Words>
  <Characters>13921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Perfusion Case Study: Redo AVR and Proximal Aortic Reconstruction</vt:lpstr>
    </vt:vector>
  </TitlesOfParts>
  <Manager/>
  <Company/>
  <LinksUpToDate>false</LinksUpToDate>
  <CharactersWithSpaces>16331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Perfusion Case Study: Redo AVR and Proximal Aortic Reconstruction</dc:title>
  <dc:subject>De-identified educational clinical perfusion case study</dc:subject>
  <dc:creator/>
  <cp:keywords/>
  <dc:description>generated by python-docx</dc:description>
  <cp:lastModifiedBy>Lias, Sydney</cp:lastModifiedBy>
  <cp:revision>8</cp:revision>
  <dcterms:created xsi:type="dcterms:W3CDTF">2013-12-23T23:15:00Z</dcterms:created>
  <dcterms:modified xsi:type="dcterms:W3CDTF">2026-08-06T22:46:00Z</dcterms:modified>
  <cp:category/>
</cp:coreProperties>
</file>