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8BF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二、逐题标准答案（稳、专业、不慌、不硬杠）</w:t>
      </w:r>
    </w:p>
    <w:p w14:paraId="0FE0FD8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1. 数据口径：如何剔除 AI 业务，保证只代表汽车？</w:t>
      </w:r>
    </w:p>
    <w:p w14:paraId="63602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首先，小米集团分部披露为 “智能电动汽车及 AI 等创新业务”，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AI 业务体量极小、未商业化、无营收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，公开信息显示该分部 99% 以上收入与成本均来自汽车。其次，我在论文中已明确标注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数据为分部口径、非汽车单体报表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，并在财务分析时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只采用收入、毛利率、经营盈亏这类整体可验证指标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，不拆分单体。最后，本文是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案例趋势分析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，不是精确审计，数据用于反映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变化方向与幅度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，不影响核心结论：补贴退坡带来盈利与现金流压力。</w:t>
      </w:r>
    </w:p>
    <w:p w14:paraId="53DE70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2. 回归模型：两年数据做回归，R²？控制变量？</w:t>
      </w:r>
    </w:p>
    <w:p w14:paraId="46D793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本文回归是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弹性测算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，不是严格计量实证。</w:t>
      </w:r>
    </w:p>
    <w:p w14:paraId="773760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控制变量：定价、产能、渠道、行业竞争、宏观经济。</w:t>
      </w:r>
    </w:p>
    <w:p w14:paraId="00D5D3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样本限制：小米汽车仅交付 2 年，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客观无法扩大样本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，所以我在论文 “研究不足” 已明确说明。</w:t>
      </w:r>
    </w:p>
    <w:p w14:paraId="2DEBA3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弹性系数 0.32 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区间估算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，结论取 15%-20% 的保守区间，不做精确值，仅用于说明政策拉动的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量级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。整体是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政策敏感性分析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，不是学术计量论文，我已在不足部分做了完整说明。</w:t>
      </w:r>
    </w:p>
    <w:p w14:paraId="570EB8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3. 2025 年经营盈利 9 亿元：怎么算的？</w:t>
      </w:r>
    </w:p>
    <w:p w14:paraId="7E0065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9 亿元直接来自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小米集团 2025 年财报分部披露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：智能电动汽车及 AI 等创新业务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经营利润 9 亿元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。我未做任何调整，完全沿用集团披露口径，论文已注明 “分部口径、未剔除 AI”，且说明 AI 无实质盈利，因此可近似代表汽车业务盈亏拐点。</w:t>
      </w:r>
    </w:p>
    <w:p w14:paraId="648F79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4. 单位车辆成本下降 4.6%：来源？</w:t>
      </w:r>
    </w:p>
    <w:p w14:paraId="4F1BB8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该数据是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基于收入、销量、毛利率倒推的合理估算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：</w:t>
      </w:r>
    </w:p>
    <w:p w14:paraId="042C2D3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已知：收入、销量、ASP、毛利率</w:t>
      </w:r>
    </w:p>
    <w:p w14:paraId="7E0D30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倒推：营业成本 ÷ 销量 = 单车成本，再算同比降幅论文已说明是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估算值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，用于反映规模效应方向，不是精确审计数据，且在 “研究不足” 中承认数据局限性。</w:t>
      </w:r>
    </w:p>
    <w:p w14:paraId="67B4C5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5. 偿债能力：为何没分析表外负债、应付、减值？</w:t>
      </w:r>
    </w:p>
    <w:p w14:paraId="0D5AD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因为小米汽车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未独立法人、无单体报表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，无法获取应付账款结构、表外负债、减值计提等明细。我已在论文中用 **“资金依赖度、资本开支强度、集团支持”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三个角度做了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分部层面偿债压力分析 **，这是公开数据下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唯一可行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的分析方式，并非缺失，而是受数据限制的合理处理。</w:t>
      </w:r>
    </w:p>
    <w:p w14:paraId="1B8E44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6. 生态协同：对应哪些会计科目？</w:t>
      </w:r>
    </w:p>
    <w:p w14:paraId="4C02D4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生态协同在财务上主要体现在三个科目：</w:t>
      </w:r>
    </w:p>
    <w:p w14:paraId="31427ED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销售费用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：复用小米之家，渠道费更低</w:t>
      </w:r>
    </w:p>
    <w:p w14:paraId="6F26BEA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管理费用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：共享集团中台，管理费更优</w:t>
      </w:r>
    </w:p>
    <w:p w14:paraId="0F2D7C6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研发费用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：技术复用，减少重复投入最终体现为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期间费用率下降、毛利率提升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，论文已用 “费用率低于行业” 佐证，不是定性空谈。</w:t>
      </w:r>
    </w:p>
    <w:p w14:paraId="29D04E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7. 自兜底补贴 18 亿：会计处理？影响？</w:t>
      </w:r>
    </w:p>
    <w:p w14:paraId="271FCA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企业自兜底属于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为促进销售发生的支出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，会计上计入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销售费用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</w:t>
      </w:r>
    </w:p>
    <w:p w14:paraId="56F9CC3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不计入营业成本，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不影响毛利率</w:t>
      </w:r>
    </w:p>
    <w:p w14:paraId="40EB245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但会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降低净利率、减少经营现金流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我在论文现金流部分已强调该支出会加大现金压力，会计处理逻辑完整，只是未展开准则条文，不影响结论。</w:t>
      </w:r>
    </w:p>
    <w:p w14:paraId="623141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8. 规模经济：固定成本构成？临界点？</w:t>
      </w:r>
    </w:p>
    <w:p w14:paraId="171519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固定成本主要包括：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固定资产折旧、研发摊销、厂房与人员固定成本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。公开数据未披露细分结构，因此我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未做精确拆分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，避免编造。临界点采用行业通用值：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年销 30–50 万辆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达到显著规模效应，小米目标 2027 年 50 万辆，与行业一致，结论稳健。</w:t>
      </w:r>
    </w:p>
    <w:p w14:paraId="79434D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9. 逻辑矛盾：不依赖补贴 vs 补贴拉动 15%-20%</w:t>
      </w:r>
    </w:p>
    <w:p w14:paraId="189A1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不矛盾，核心是 **“短期支撑”≠“长期依赖”**：</w:t>
      </w:r>
    </w:p>
    <w:p w14:paraId="290E24D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短期：补贴确实拉动销量 15%-20%，是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起步助力</w:t>
      </w:r>
    </w:p>
    <w:p w14:paraId="0E81F57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长期：盈利核心来自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生态协同 + 规模效应 + 高国产化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，不是政策论文结论是：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小米具备脱离补贴的盈利基础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，不是说补贴没用。</w:t>
      </w:r>
    </w:p>
    <w:p w14:paraId="5982FB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10. 只分析购置税，是否以偏概全？</w:t>
      </w:r>
    </w:p>
    <w:p w14:paraId="26222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本文聚焦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2026 年最确定、影响最大的政策变化 —— 购置税减半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，这是行业最核心变量。购置补贴已基本退出，双积分、地方补贴影响小且不透明，不适合量化。我做的是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聚焦核心问题的专题研究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，不是全面政策盘点，研究设计合理。</w:t>
      </w:r>
    </w:p>
    <w:p w14:paraId="5F505B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11. 为何只盯补贴，回避价格战 / 产能过剩？</w:t>
      </w:r>
    </w:p>
    <w:p w14:paraId="39B29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论文已明确提到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行业价格战、供应链波动、产能扩张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是风险来源，只是本文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主题是补贴背景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，所以以政策为核心主线。其他风险作为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外部环境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已纳入分析框架，没有回避，只是不做重点展开。</w:t>
      </w:r>
    </w:p>
    <w:p w14:paraId="1C84855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12. 软件收入 20%：凭什么？测算呢？</w:t>
      </w:r>
    </w:p>
    <w:p w14:paraId="083A6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20% 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行业对标目标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，不是精确预测：</w:t>
      </w:r>
    </w:p>
    <w:p w14:paraId="05BFC29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对标特斯拉、蔚来软件收入占比</w:t>
      </w:r>
    </w:p>
    <w:p w14:paraId="03AF0591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小米有生态与用户优势，具备可行性我在论文中明确是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长期战略目标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，未做财务模型预测，且在 “研究不足” 说明缺少量化测算，属于合理战略展望。</w:t>
      </w:r>
    </w:p>
    <w:p w14:paraId="4D45F87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13. 为何没分析特斯拉 / 比亚迪 / 华为竞争？</w:t>
      </w:r>
    </w:p>
    <w:p w14:paraId="013D0B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竞争环境已在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行业现状、盈利稳定性风险、价格战压力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中体现。本文是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财务风险与盈利分析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，不是竞争战略论文，重点在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财务结果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，不在竞争格局细节，研究边界清晰。</w:t>
      </w:r>
    </w:p>
    <w:p w14:paraId="3D0FE0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14. 自建电池重资产，与控现金流是否冲突？</w:t>
      </w:r>
    </w:p>
    <w:p w14:paraId="684A56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不冲突，是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短期压力换长期安全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：</w:t>
      </w:r>
    </w:p>
    <w:p w14:paraId="7C23B07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短期：资本开支增加，现金流承压（论文已提示风险）</w:t>
      </w:r>
    </w:p>
    <w:p w14:paraId="664E6EC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中长期：供应链自主、成本下降、毛利提升，反而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降低现金流波动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我提出的是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中期策略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，并配套 “分期投资、严控开支”，逻辑自洽。</w:t>
      </w:r>
    </w:p>
    <w:p w14:paraId="367FE9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15. 大量估算，结论还可靠吗？</w:t>
      </w:r>
    </w:p>
    <w:p w14:paraId="45B21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本文是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案例分析 + 趋势判断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，不是审计报告：</w:t>
      </w:r>
    </w:p>
    <w:p w14:paraId="2C230FE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所有估算均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基于公开数据倒推</w:t>
      </w:r>
    </w:p>
    <w:p w14:paraId="0A30C90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结论取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保守区间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，不强调精确值</w:t>
      </w:r>
    </w:p>
    <w:p w14:paraId="2611A46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所有局限均在 “研究不足” 完整披露核心结论：</w:t>
      </w:r>
      <w:r>
        <w:rPr>
          <w:rStyle w:val="6"/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补贴退坡带来三重财务风险，生态 + 规模是核心盈利动力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，完全可靠。</w:t>
      </w:r>
    </w:p>
    <w:p w14:paraId="50F429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16. 只留公开数据，3 句话总结站得住脚的结论</w:t>
      </w:r>
    </w:p>
    <w:p w14:paraId="1CA9CA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48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Style w:val="6"/>
          <w:rFonts w:hint="eastAsia" w:ascii="宋体" w:hAnsi="宋体" w:eastAsia="宋体" w:cs="宋体"/>
          <w:b w:val="0"/>
          <w:bCs w:val="0"/>
          <w:color w:val="000000"/>
          <w:kern w:val="0"/>
          <w:sz w:val="28"/>
          <w:szCs w:val="28"/>
          <w:lang w:val="en-US" w:eastAsia="zh-CN" w:bidi="ar"/>
        </w:rPr>
        <w:t>答：</w:t>
      </w:r>
    </w:p>
    <w:p w14:paraId="075B2E5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购置税减免对小米汽车初期销量与盈利形成明显支撑。</w:t>
      </w:r>
    </w:p>
    <w:p w14:paraId="3556529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补贴退坡将带来盈利稳定性、现金流、成本控制三大财务风险。</w:t>
      </w:r>
    </w:p>
    <w:p w14:paraId="78EF5CB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</w:rPr>
        <w:t>生态协同与规模效应是小米汽车可持续盈利的核心支撑，具备脱离政策依赖的基础。</w:t>
      </w:r>
    </w:p>
    <w:p w14:paraId="4CAD94F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EFA698"/>
    <w:multiLevelType w:val="multilevel"/>
    <w:tmpl w:val="9EEFA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FFE938A"/>
    <w:multiLevelType w:val="multilevel"/>
    <w:tmpl w:val="AFFE9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B47DA4"/>
    <w:multiLevelType w:val="multilevel"/>
    <w:tmpl w:val="BFB47D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A7F35F5"/>
    <w:multiLevelType w:val="multilevel"/>
    <w:tmpl w:val="DA7F35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AF66404"/>
    <w:multiLevelType w:val="multilevel"/>
    <w:tmpl w:val="EAF66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F77E02E"/>
    <w:multiLevelType w:val="multilevel"/>
    <w:tmpl w:val="EF77E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2BF7B57"/>
    <w:multiLevelType w:val="multilevel"/>
    <w:tmpl w:val="F2BF7B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6DA7419"/>
    <w:multiLevelType w:val="multilevel"/>
    <w:tmpl w:val="F6DA74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F3B420"/>
    <w:multiLevelType w:val="multilevel"/>
    <w:tmpl w:val="FFF3B4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1E612"/>
    <w:rsid w:val="FFF1E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2026-05-08T14:08:00Z</dcterms:created>
  <dc:creator>牛奶袋中袋装牛奶</dc:creator>
  <cp:lastModifiedBy>牛奶袋中袋装牛奶</cp:lastModifiedBy>
  <dcterms:modified xsi:type="dcterms:W3CDTF">2026-05-09T09:04:28Z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A7D805219886BA86DE7DFD69EFEC3127_41</vt:lpwstr>
  </property>
</Properties>
</file>