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结果展示界面分左右结构，其中左边是一个树状结构，展开显示，如图1，以即时通讯中的微信为例，微信树结构下为微信用户，每个微信用户包括：账号信息、通讯录、聊天记录、朋友圈、收藏、附件，点击账号信息界面显示如图1，其中账号信息记录在数据库midwxtrans.db的WXAccount表格中，</w:t>
      </w: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66690" cy="2806700"/>
            <wp:effectExtent l="0" t="0" r="10160" b="12700"/>
            <wp:docPr id="5" name="图片 5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图1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通讯录信息记录在WXAddressBook表格，通讯录中包括公众号和好友，其中type列值为33的为公众号，为3的是好友，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通讯录的展示界面如图2，</w:t>
      </w:r>
    </w:p>
    <w:p>
      <w:pPr>
        <w:rPr>
          <w:rFonts w:hint="eastAsia" w:eastAsiaTheme="minorEastAsia"/>
          <w:sz w:val="24"/>
          <w:szCs w:val="24"/>
          <w:lang w:eastAsia="zh-CN"/>
        </w:rPr>
      </w:pPr>
      <w:r>
        <w:rPr>
          <w:rFonts w:hint="eastAsia" w:eastAsiaTheme="minorEastAsia"/>
          <w:sz w:val="24"/>
          <w:szCs w:val="24"/>
          <w:lang w:eastAsia="zh-CN"/>
        </w:rPr>
        <w:drawing>
          <wp:inline distT="0" distB="0" distL="114300" distR="114300">
            <wp:extent cx="5248910" cy="3696335"/>
            <wp:effectExtent l="0" t="0" r="8890" b="18415"/>
            <wp:docPr id="1" name="图片 1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3"/>
                    <pic:cNvPicPr>
                      <a:picLocks noChangeAspect="1"/>
                    </pic:cNvPicPr>
                  </pic:nvPicPr>
                  <pic:blipFill>
                    <a:blip r:embed="rId5"/>
                    <a:srcRect l="18" r="60004" b="32738"/>
                    <a:stretch>
                      <a:fillRect/>
                    </a:stretch>
                  </pic:blipFill>
                  <pic:spPr>
                    <a:xfrm>
                      <a:off x="0" y="0"/>
                      <a:ext cx="524891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图2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当显示聊天记录界面时，界面有三个模块，树状图模块、信息总数统计模块、聊天记录展示模块，如图3所示。信息总数统计模块中的表格有三列：序号、名称、消息总数；聊天记录数据在WXMessage表格中，其中wxID表示聊天对象，createTime表示聊天时间，content列为聊天内容，issend列值为0表示接收到的信息显示在信息显示界面的左边，值为1时，表示发送信息，显示在信息显示界</w:t>
      </w:r>
      <w:bookmarkStart w:id="0" w:name="_GoBack"/>
      <w:bookmarkEnd w:id="0"/>
      <w:r>
        <w:rPr>
          <w:rFonts w:hint="eastAsia"/>
          <w:sz w:val="24"/>
          <w:szCs w:val="24"/>
          <w:lang w:val="en-US" w:eastAsia="zh-CN"/>
        </w:rPr>
        <w:t>面的右边，如图3所示。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eastAsia" w:eastAsiaTheme="minorEastAsia"/>
          <w:sz w:val="24"/>
          <w:szCs w:val="24"/>
          <w:lang w:eastAsia="zh-CN"/>
        </w:rPr>
      </w:pPr>
      <w:r>
        <w:rPr>
          <w:rFonts w:hint="eastAsia" w:eastAsiaTheme="minorEastAsia"/>
          <w:sz w:val="24"/>
          <w:szCs w:val="24"/>
          <w:lang w:eastAsia="zh-CN"/>
        </w:rPr>
        <w:drawing>
          <wp:inline distT="0" distB="0" distL="114300" distR="114300">
            <wp:extent cx="5271135" cy="3297555"/>
            <wp:effectExtent l="0" t="0" r="5715" b="17145"/>
            <wp:docPr id="6" name="图片 6" descr="156100963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561009634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图3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AF37605"/>
    <w:rsid w:val="019B3D94"/>
    <w:rsid w:val="4089380A"/>
    <w:rsid w:val="6AF376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Office_11.1.0.8696_F1E327BC-269C-435d-A152-05C5408002CA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2019-06-20T05:23:00Z</dcterms:created>
  <dc:creator>亦南亦美</dc:creator>
  <cp:lastModifiedBy>亦南亦美</cp:lastModifiedBy>
  <dcterms:modified xsi:type="dcterms:W3CDTF">2019-06-20T06:01:39Z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