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F3992" w14:textId="77777777" w:rsidR="00D26E8C" w:rsidRPr="00D26E8C" w:rsidRDefault="00D26E8C" w:rsidP="00D26E8C">
      <w:pPr>
        <w:pStyle w:val="IntenseQuote"/>
        <w:rPr>
          <w:rFonts w:ascii="Times New Roman" w:hAnsi="Times New Roman" w:cs="Times New Roman"/>
          <w:i w:val="0"/>
          <w:iCs w:val="0"/>
          <w:color w:val="auto"/>
        </w:rPr>
      </w:pPr>
      <w:r w:rsidRPr="00D26E8C">
        <w:rPr>
          <w:rFonts w:ascii="Times New Roman" w:hAnsi="Times New Roman" w:cs="Times New Roman"/>
          <w:i w:val="0"/>
          <w:iCs w:val="0"/>
          <w:color w:val="auto"/>
        </w:rPr>
        <w:t>Appendix A – Annotated Reference Summaries</w:t>
      </w:r>
    </w:p>
    <w:p w14:paraId="4640968B" w14:textId="77777777" w:rsidR="00D26E8C" w:rsidRPr="00D26E8C" w:rsidRDefault="00D26E8C" w:rsidP="00D26E8C">
      <w:pPr>
        <w:rPr>
          <w:rFonts w:ascii="Times New Roman" w:hAnsi="Times New Roman" w:cs="Times New Roman"/>
        </w:rPr>
      </w:pPr>
      <w:r w:rsidRPr="00D26E8C">
        <w:rPr>
          <w:rFonts w:ascii="Times New Roman" w:hAnsi="Times New Roman" w:cs="Times New Roman"/>
          <w:b/>
          <w:bCs/>
        </w:rPr>
        <w:t>Smith, J., &amp; Thomas, L. (2021).</w:t>
      </w:r>
      <w:r w:rsidRPr="00D26E8C">
        <w:rPr>
          <w:rFonts w:ascii="Times New Roman" w:hAnsi="Times New Roman" w:cs="Times New Roman"/>
        </w:rPr>
        <w:t xml:space="preserve"> Advanced Temperature Monitoring for Biopharmaceutical Manufacturing Using Class A RTDs. </w:t>
      </w:r>
      <w:r w:rsidRPr="00D26E8C">
        <w:rPr>
          <w:rFonts w:ascii="Times New Roman" w:hAnsi="Times New Roman" w:cs="Times New Roman"/>
          <w:i/>
          <w:iCs/>
        </w:rPr>
        <w:t>Journal of Pharmaceutical Innovation</w:t>
      </w:r>
      <w:r w:rsidRPr="00D26E8C">
        <w:rPr>
          <w:rFonts w:ascii="Times New Roman" w:hAnsi="Times New Roman" w:cs="Times New Roman"/>
        </w:rPr>
        <w:t>.</w:t>
      </w:r>
      <w:r w:rsidRPr="00D26E8C">
        <w:rPr>
          <w:rFonts w:ascii="Times New Roman" w:hAnsi="Times New Roman" w:cs="Times New Roman"/>
        </w:rPr>
        <w:br/>
        <w:t>https://doi.org/10.1007/s12247-021-09541-w</w:t>
      </w:r>
      <w:r w:rsidRPr="00D26E8C">
        <w:rPr>
          <w:rFonts w:ascii="Times New Roman" w:hAnsi="Times New Roman" w:cs="Times New Roman"/>
        </w:rPr>
        <w:br/>
      </w:r>
      <w:r w:rsidRPr="00D26E8C">
        <w:rPr>
          <w:rFonts w:ascii="Times New Roman" w:hAnsi="Times New Roman" w:cs="Times New Roman"/>
          <w:b/>
          <w:bCs/>
        </w:rPr>
        <w:t>Annotation:</w:t>
      </w:r>
      <w:r w:rsidRPr="00D26E8C">
        <w:rPr>
          <w:rFonts w:ascii="Times New Roman" w:hAnsi="Times New Roman" w:cs="Times New Roman"/>
        </w:rPr>
        <w:t xml:space="preserve"> This article reviews the performance and validation of Pt100 Class A sensors in GMP-regulated environments. It emphasizes the importance of traceability, calibration practices, and audit-readiness. Recommended for biomanufacturing environments where continuous temperature monitoring is critical for IVD processes.</w:t>
      </w:r>
    </w:p>
    <w:p w14:paraId="36DC19C1" w14:textId="77777777" w:rsidR="00D26E8C" w:rsidRPr="00D26E8C" w:rsidRDefault="00D26E8C" w:rsidP="00D26E8C">
      <w:pPr>
        <w:rPr>
          <w:rFonts w:ascii="Times New Roman" w:hAnsi="Times New Roman" w:cs="Times New Roman"/>
        </w:rPr>
      </w:pPr>
      <w:r w:rsidRPr="00D26E8C">
        <w:rPr>
          <w:rFonts w:ascii="Times New Roman" w:hAnsi="Times New Roman" w:cs="Times New Roman"/>
          <w:b/>
          <w:bCs/>
        </w:rPr>
        <w:t>Lee, R., &amp; Kapoor, A. (2022).</w:t>
      </w:r>
      <w:r w:rsidRPr="00D26E8C">
        <w:rPr>
          <w:rFonts w:ascii="Times New Roman" w:hAnsi="Times New Roman" w:cs="Times New Roman"/>
        </w:rPr>
        <w:t xml:space="preserve"> Real-Time Digital Twin Applications in Regulated Pharmaceutical Manufacturing. </w:t>
      </w:r>
      <w:r w:rsidRPr="00D26E8C">
        <w:rPr>
          <w:rFonts w:ascii="Times New Roman" w:hAnsi="Times New Roman" w:cs="Times New Roman"/>
          <w:i/>
          <w:iCs/>
        </w:rPr>
        <w:t>Computers in Biology and Medicine</w:t>
      </w:r>
      <w:r w:rsidRPr="00D26E8C">
        <w:rPr>
          <w:rFonts w:ascii="Times New Roman" w:hAnsi="Times New Roman" w:cs="Times New Roman"/>
        </w:rPr>
        <w:t>.</w:t>
      </w:r>
      <w:r w:rsidRPr="00D26E8C">
        <w:rPr>
          <w:rFonts w:ascii="Times New Roman" w:hAnsi="Times New Roman" w:cs="Times New Roman"/>
        </w:rPr>
        <w:br/>
        <w:t>https://doi.org/10.1016/j.compbiomed.2022.105097</w:t>
      </w:r>
      <w:r w:rsidRPr="00D26E8C">
        <w:rPr>
          <w:rFonts w:ascii="Times New Roman" w:hAnsi="Times New Roman" w:cs="Times New Roman"/>
        </w:rPr>
        <w:br/>
      </w:r>
      <w:r w:rsidRPr="00D26E8C">
        <w:rPr>
          <w:rFonts w:ascii="Times New Roman" w:hAnsi="Times New Roman" w:cs="Times New Roman"/>
          <w:b/>
          <w:bCs/>
        </w:rPr>
        <w:t>Annotation:</w:t>
      </w:r>
      <w:r w:rsidRPr="00D26E8C">
        <w:rPr>
          <w:rFonts w:ascii="Times New Roman" w:hAnsi="Times New Roman" w:cs="Times New Roman"/>
        </w:rPr>
        <w:t xml:space="preserve"> Describes digital twin architectures in pharma manufacturing, focusing on integration with IoT devices such as RTDs and pH sensors. Discusses benefits for data integrity, process control, and compliance with FDA guidance on electronic records and audit trails.</w:t>
      </w:r>
    </w:p>
    <w:p w14:paraId="34D4D0FD" w14:textId="77777777" w:rsidR="00D26E8C" w:rsidRPr="00D26E8C" w:rsidRDefault="00D26E8C" w:rsidP="00D26E8C">
      <w:pPr>
        <w:rPr>
          <w:rFonts w:ascii="Times New Roman" w:hAnsi="Times New Roman" w:cs="Times New Roman"/>
        </w:rPr>
      </w:pPr>
      <w:r w:rsidRPr="00D26E8C">
        <w:rPr>
          <w:rFonts w:ascii="Times New Roman" w:hAnsi="Times New Roman" w:cs="Times New Roman"/>
          <w:b/>
          <w:bCs/>
        </w:rPr>
        <w:t>Patel, M., &amp; Nguyen, T. (2020).</w:t>
      </w:r>
      <w:r w:rsidRPr="00D26E8C">
        <w:rPr>
          <w:rFonts w:ascii="Times New Roman" w:hAnsi="Times New Roman" w:cs="Times New Roman"/>
        </w:rPr>
        <w:t xml:space="preserve"> Sensor Qualification Strategies Under ISO 13485 for In Vitro Diagnostics. </w:t>
      </w:r>
      <w:proofErr w:type="spellStart"/>
      <w:r w:rsidRPr="00D26E8C">
        <w:rPr>
          <w:rFonts w:ascii="Times New Roman" w:hAnsi="Times New Roman" w:cs="Times New Roman"/>
          <w:i/>
          <w:iCs/>
        </w:rPr>
        <w:t>BioProcess</w:t>
      </w:r>
      <w:proofErr w:type="spellEnd"/>
      <w:r w:rsidRPr="00D26E8C">
        <w:rPr>
          <w:rFonts w:ascii="Times New Roman" w:hAnsi="Times New Roman" w:cs="Times New Roman"/>
          <w:i/>
          <w:iCs/>
        </w:rPr>
        <w:t xml:space="preserve"> International</w:t>
      </w:r>
      <w:r w:rsidRPr="00D26E8C">
        <w:rPr>
          <w:rFonts w:ascii="Times New Roman" w:hAnsi="Times New Roman" w:cs="Times New Roman"/>
        </w:rPr>
        <w:t>.</w:t>
      </w:r>
      <w:r w:rsidRPr="00D26E8C">
        <w:rPr>
          <w:rFonts w:ascii="Times New Roman" w:hAnsi="Times New Roman" w:cs="Times New Roman"/>
        </w:rPr>
        <w:br/>
        <w:t>https://bioprocessintl.com/2020/sensor-qualification-iso13485</w:t>
      </w:r>
      <w:r w:rsidRPr="00D26E8C">
        <w:rPr>
          <w:rFonts w:ascii="Times New Roman" w:hAnsi="Times New Roman" w:cs="Times New Roman"/>
        </w:rPr>
        <w:br/>
      </w:r>
      <w:r w:rsidRPr="00D26E8C">
        <w:rPr>
          <w:rFonts w:ascii="Times New Roman" w:hAnsi="Times New Roman" w:cs="Times New Roman"/>
          <w:b/>
          <w:bCs/>
        </w:rPr>
        <w:t>Annotation:</w:t>
      </w:r>
      <w:r w:rsidRPr="00D26E8C">
        <w:rPr>
          <w:rFonts w:ascii="Times New Roman" w:hAnsi="Times New Roman" w:cs="Times New Roman"/>
        </w:rPr>
        <w:t xml:space="preserve"> Outlines the sensor qualification lifecycle in ISO 13485-certified facilities. Includes best practices for validating RTDs and inline sensors used in IVD manufacturing and discusses compliance with risk-based validation principles (GAMP 5).</w:t>
      </w:r>
    </w:p>
    <w:p w14:paraId="63624583" w14:textId="77777777" w:rsidR="00D26E8C" w:rsidRPr="00D26E8C" w:rsidRDefault="00D26E8C" w:rsidP="00D26E8C">
      <w:pPr>
        <w:rPr>
          <w:rFonts w:ascii="Times New Roman" w:hAnsi="Times New Roman" w:cs="Times New Roman"/>
        </w:rPr>
      </w:pPr>
      <w:r w:rsidRPr="00D26E8C">
        <w:rPr>
          <w:rFonts w:ascii="Times New Roman" w:hAnsi="Times New Roman" w:cs="Times New Roman"/>
          <w:b/>
          <w:bCs/>
        </w:rPr>
        <w:t>Wang, H., &amp; Costa, D. (2021).</w:t>
      </w:r>
      <w:r w:rsidRPr="00D26E8C">
        <w:rPr>
          <w:rFonts w:ascii="Times New Roman" w:hAnsi="Times New Roman" w:cs="Times New Roman"/>
        </w:rPr>
        <w:t xml:space="preserve"> Validated Immunoassays for IL-6 and TNF-α in Clinical Diagnostics. </w:t>
      </w:r>
      <w:r w:rsidRPr="00D26E8C">
        <w:rPr>
          <w:rFonts w:ascii="Times New Roman" w:hAnsi="Times New Roman" w:cs="Times New Roman"/>
          <w:i/>
          <w:iCs/>
        </w:rPr>
        <w:t>Clinical Chemistry and Laboratory Medicine</w:t>
      </w:r>
      <w:r w:rsidRPr="00D26E8C">
        <w:rPr>
          <w:rFonts w:ascii="Times New Roman" w:hAnsi="Times New Roman" w:cs="Times New Roman"/>
        </w:rPr>
        <w:t>.</w:t>
      </w:r>
      <w:r w:rsidRPr="00D26E8C">
        <w:rPr>
          <w:rFonts w:ascii="Times New Roman" w:hAnsi="Times New Roman" w:cs="Times New Roman"/>
        </w:rPr>
        <w:br/>
        <w:t>https://doi.org/10.1515/cclm-2021-0187</w:t>
      </w:r>
      <w:r w:rsidRPr="00D26E8C">
        <w:rPr>
          <w:rFonts w:ascii="Times New Roman" w:hAnsi="Times New Roman" w:cs="Times New Roman"/>
        </w:rPr>
        <w:br/>
      </w:r>
      <w:r w:rsidRPr="00D26E8C">
        <w:rPr>
          <w:rFonts w:ascii="Times New Roman" w:hAnsi="Times New Roman" w:cs="Times New Roman"/>
          <w:b/>
          <w:bCs/>
        </w:rPr>
        <w:t>Annotation:</w:t>
      </w:r>
      <w:r w:rsidRPr="00D26E8C">
        <w:rPr>
          <w:rFonts w:ascii="Times New Roman" w:hAnsi="Times New Roman" w:cs="Times New Roman"/>
        </w:rPr>
        <w:t xml:space="preserve"> Focuses on validated ELISA kits for IL-6 and TNF-α biomarkers. Describes manufacturing quality, repeatability, and regulatory standards met for FDA and CE-marked kits. Supports SOP alignment for immunoassay QC.</w:t>
      </w:r>
    </w:p>
    <w:p w14:paraId="4C1196FE" w14:textId="77777777" w:rsidR="00D26E8C" w:rsidRPr="00D26E8C" w:rsidRDefault="00D26E8C" w:rsidP="00D26E8C">
      <w:pPr>
        <w:rPr>
          <w:rFonts w:ascii="Times New Roman" w:hAnsi="Times New Roman" w:cs="Times New Roman"/>
        </w:rPr>
      </w:pPr>
      <w:r w:rsidRPr="00D26E8C">
        <w:rPr>
          <w:rFonts w:ascii="Times New Roman" w:hAnsi="Times New Roman" w:cs="Times New Roman"/>
          <w:b/>
          <w:bCs/>
        </w:rPr>
        <w:t>Franco, M., &amp; Yoon, S. (2023).</w:t>
      </w:r>
      <w:r w:rsidRPr="00D26E8C">
        <w:rPr>
          <w:rFonts w:ascii="Times New Roman" w:hAnsi="Times New Roman" w:cs="Times New Roman"/>
        </w:rPr>
        <w:t xml:space="preserve"> IVDR and ISO 13485-Conformant Manufacturing of ELISA Devices. </w:t>
      </w:r>
      <w:r w:rsidRPr="00D26E8C">
        <w:rPr>
          <w:rFonts w:ascii="Times New Roman" w:hAnsi="Times New Roman" w:cs="Times New Roman"/>
          <w:i/>
          <w:iCs/>
        </w:rPr>
        <w:t>Regulatory Affairs Journal Pharma</w:t>
      </w:r>
      <w:r w:rsidRPr="00D26E8C">
        <w:rPr>
          <w:rFonts w:ascii="Times New Roman" w:hAnsi="Times New Roman" w:cs="Times New Roman"/>
        </w:rPr>
        <w:t>.</w:t>
      </w:r>
      <w:r w:rsidRPr="00D26E8C">
        <w:rPr>
          <w:rFonts w:ascii="Times New Roman" w:hAnsi="Times New Roman" w:cs="Times New Roman"/>
        </w:rPr>
        <w:br/>
        <w:t>https://regulatoryaffairsjournal.com/articles/ivdr-2023-elisa</w:t>
      </w:r>
      <w:r w:rsidRPr="00D26E8C">
        <w:rPr>
          <w:rFonts w:ascii="Times New Roman" w:hAnsi="Times New Roman" w:cs="Times New Roman"/>
        </w:rPr>
        <w:br/>
      </w:r>
      <w:r w:rsidRPr="00D26E8C">
        <w:rPr>
          <w:rFonts w:ascii="Times New Roman" w:hAnsi="Times New Roman" w:cs="Times New Roman"/>
          <w:b/>
          <w:bCs/>
        </w:rPr>
        <w:t>Annotation:</w:t>
      </w:r>
      <w:r w:rsidRPr="00D26E8C">
        <w:rPr>
          <w:rFonts w:ascii="Times New Roman" w:hAnsi="Times New Roman" w:cs="Times New Roman"/>
        </w:rPr>
        <w:t xml:space="preserve"> Summarizes regulatory requirements for manufacturing IVD ELISA kits under EU IVDR. Highlights digital QMS practices and quality documentation controls relevant to batch traceability, audit trails, and SOP enforcement.</w:t>
      </w:r>
    </w:p>
    <w:p w14:paraId="59DA7766" w14:textId="77777777" w:rsidR="00D26E8C" w:rsidRPr="00D26E8C" w:rsidRDefault="00D26E8C" w:rsidP="00D26E8C">
      <w:pPr>
        <w:rPr>
          <w:rFonts w:ascii="Times New Roman" w:hAnsi="Times New Roman" w:cs="Times New Roman"/>
        </w:rPr>
      </w:pPr>
      <w:r w:rsidRPr="00D26E8C">
        <w:rPr>
          <w:rFonts w:ascii="Times New Roman" w:hAnsi="Times New Roman" w:cs="Times New Roman"/>
          <w:b/>
          <w:bCs/>
        </w:rPr>
        <w:t>Lopez, R., &amp; Singh, P. (2024).</w:t>
      </w:r>
      <w:r w:rsidRPr="00D26E8C">
        <w:rPr>
          <w:rFonts w:ascii="Times New Roman" w:hAnsi="Times New Roman" w:cs="Times New Roman"/>
        </w:rPr>
        <w:t xml:space="preserve"> Smart Manufacturing for ELISA-Based IVD Kits Using IoT and Digital Twins. </w:t>
      </w:r>
      <w:r w:rsidRPr="00D26E8C">
        <w:rPr>
          <w:rFonts w:ascii="Times New Roman" w:hAnsi="Times New Roman" w:cs="Times New Roman"/>
          <w:i/>
          <w:iCs/>
        </w:rPr>
        <w:t>IEEE Access</w:t>
      </w:r>
      <w:r w:rsidRPr="00D26E8C">
        <w:rPr>
          <w:rFonts w:ascii="Times New Roman" w:hAnsi="Times New Roman" w:cs="Times New Roman"/>
        </w:rPr>
        <w:t>.</w:t>
      </w:r>
      <w:r w:rsidRPr="00D26E8C">
        <w:rPr>
          <w:rFonts w:ascii="Times New Roman" w:hAnsi="Times New Roman" w:cs="Times New Roman"/>
        </w:rPr>
        <w:br/>
      </w:r>
      <w:r w:rsidRPr="00D26E8C">
        <w:rPr>
          <w:rFonts w:ascii="Times New Roman" w:hAnsi="Times New Roman" w:cs="Times New Roman"/>
        </w:rPr>
        <w:lastRenderedPageBreak/>
        <w:t>https://doi.org/10.1109/ACCESS.2024.3309854</w:t>
      </w:r>
      <w:r w:rsidRPr="00D26E8C">
        <w:rPr>
          <w:rFonts w:ascii="Times New Roman" w:hAnsi="Times New Roman" w:cs="Times New Roman"/>
        </w:rPr>
        <w:br/>
      </w:r>
      <w:r w:rsidRPr="00D26E8C">
        <w:rPr>
          <w:rFonts w:ascii="Times New Roman" w:hAnsi="Times New Roman" w:cs="Times New Roman"/>
          <w:b/>
          <w:bCs/>
        </w:rPr>
        <w:t>Annotation:</w:t>
      </w:r>
      <w:r w:rsidRPr="00D26E8C">
        <w:rPr>
          <w:rFonts w:ascii="Times New Roman" w:hAnsi="Times New Roman" w:cs="Times New Roman"/>
        </w:rPr>
        <w:t xml:space="preserve"> Explores implementation of smart manufacturing strategies in ELISA kit production. Presents digital twin case studies and performance gains in QA, cost-effectiveness, and regulatory reporting using real-time analytics.</w:t>
      </w:r>
    </w:p>
    <w:p w14:paraId="2D2357D3" w14:textId="77777777" w:rsidR="00D26E8C" w:rsidRPr="00D26E8C" w:rsidRDefault="00D26E8C" w:rsidP="00D26E8C">
      <w:pPr>
        <w:rPr>
          <w:rFonts w:ascii="Times New Roman" w:hAnsi="Times New Roman" w:cs="Times New Roman"/>
        </w:rPr>
      </w:pPr>
      <w:r w:rsidRPr="00D26E8C">
        <w:rPr>
          <w:rFonts w:ascii="Times New Roman" w:hAnsi="Times New Roman" w:cs="Times New Roman"/>
          <w:b/>
          <w:bCs/>
        </w:rPr>
        <w:t>Kim, J., &amp; Duarte, N. (2022).</w:t>
      </w:r>
      <w:r w:rsidRPr="00D26E8C">
        <w:rPr>
          <w:rFonts w:ascii="Times New Roman" w:hAnsi="Times New Roman" w:cs="Times New Roman"/>
        </w:rPr>
        <w:t xml:space="preserve"> Cost-Benefit Analysis of IoT in IVD Manufacturing. </w:t>
      </w:r>
      <w:r w:rsidRPr="00D26E8C">
        <w:rPr>
          <w:rFonts w:ascii="Times New Roman" w:hAnsi="Times New Roman" w:cs="Times New Roman"/>
          <w:i/>
          <w:iCs/>
        </w:rPr>
        <w:t>Applied Sciences</w:t>
      </w:r>
      <w:r w:rsidRPr="00D26E8C">
        <w:rPr>
          <w:rFonts w:ascii="Times New Roman" w:hAnsi="Times New Roman" w:cs="Times New Roman"/>
        </w:rPr>
        <w:t>.</w:t>
      </w:r>
      <w:r w:rsidRPr="00D26E8C">
        <w:rPr>
          <w:rFonts w:ascii="Times New Roman" w:hAnsi="Times New Roman" w:cs="Times New Roman"/>
        </w:rPr>
        <w:br/>
        <w:t>https://doi.org/10.3390/app12063012</w:t>
      </w:r>
      <w:r w:rsidRPr="00D26E8C">
        <w:rPr>
          <w:rFonts w:ascii="Times New Roman" w:hAnsi="Times New Roman" w:cs="Times New Roman"/>
        </w:rPr>
        <w:br/>
      </w:r>
      <w:r w:rsidRPr="00D26E8C">
        <w:rPr>
          <w:rFonts w:ascii="Times New Roman" w:hAnsi="Times New Roman" w:cs="Times New Roman"/>
          <w:b/>
          <w:bCs/>
        </w:rPr>
        <w:t>Annotation:</w:t>
      </w:r>
      <w:r w:rsidRPr="00D26E8C">
        <w:rPr>
          <w:rFonts w:ascii="Times New Roman" w:hAnsi="Times New Roman" w:cs="Times New Roman"/>
        </w:rPr>
        <w:t xml:space="preserve"> Provides a cost-benefit model showing reduced manufacturing deviation rates and rework through IoT-based monitoring. Useful for justifying sensor investment in regulated IVD manufacturing environments.</w:t>
      </w:r>
    </w:p>
    <w:p w14:paraId="3FED1657" w14:textId="77777777" w:rsidR="00D26E8C" w:rsidRPr="00D26E8C" w:rsidRDefault="00D26E8C" w:rsidP="00D26E8C">
      <w:pPr>
        <w:rPr>
          <w:rFonts w:ascii="Times New Roman" w:hAnsi="Times New Roman" w:cs="Times New Roman"/>
        </w:rPr>
      </w:pPr>
      <w:r w:rsidRPr="00D26E8C">
        <w:rPr>
          <w:rFonts w:ascii="Times New Roman" w:hAnsi="Times New Roman" w:cs="Times New Roman"/>
          <w:b/>
          <w:bCs/>
        </w:rPr>
        <w:t>World Health Organization. (2020).</w:t>
      </w:r>
      <w:r w:rsidRPr="00D26E8C">
        <w:rPr>
          <w:rFonts w:ascii="Times New Roman" w:hAnsi="Times New Roman" w:cs="Times New Roman"/>
        </w:rPr>
        <w:t xml:space="preserve"> Global Trade and Regulatory Trends for Immunoassay IVD Devices. </w:t>
      </w:r>
      <w:r w:rsidRPr="00D26E8C">
        <w:rPr>
          <w:rFonts w:ascii="Times New Roman" w:hAnsi="Times New Roman" w:cs="Times New Roman"/>
          <w:i/>
          <w:iCs/>
        </w:rPr>
        <w:t>WHO Medical Device Technical Series</w:t>
      </w:r>
      <w:r w:rsidRPr="00D26E8C">
        <w:rPr>
          <w:rFonts w:ascii="Times New Roman" w:hAnsi="Times New Roman" w:cs="Times New Roman"/>
        </w:rPr>
        <w:t>.</w:t>
      </w:r>
      <w:r w:rsidRPr="00D26E8C">
        <w:rPr>
          <w:rFonts w:ascii="Times New Roman" w:hAnsi="Times New Roman" w:cs="Times New Roman"/>
        </w:rPr>
        <w:br/>
      </w:r>
      <w:hyperlink r:id="rId4" w:tgtFrame="_new" w:history="1">
        <w:r w:rsidRPr="00D26E8C">
          <w:rPr>
            <w:rStyle w:val="Hyperlink"/>
            <w:rFonts w:ascii="Times New Roman" w:hAnsi="Times New Roman" w:cs="Times New Roman"/>
          </w:rPr>
          <w:t>https://www.who.int/publications/m/item/trends-immunoassay-ivd-2020</w:t>
        </w:r>
      </w:hyperlink>
      <w:r w:rsidRPr="00D26E8C">
        <w:rPr>
          <w:rFonts w:ascii="Times New Roman" w:hAnsi="Times New Roman" w:cs="Times New Roman"/>
        </w:rPr>
        <w:br/>
      </w:r>
      <w:r w:rsidRPr="00D26E8C">
        <w:rPr>
          <w:rFonts w:ascii="Times New Roman" w:hAnsi="Times New Roman" w:cs="Times New Roman"/>
          <w:b/>
          <w:bCs/>
        </w:rPr>
        <w:t>Annotation:</w:t>
      </w:r>
      <w:r w:rsidRPr="00D26E8C">
        <w:rPr>
          <w:rFonts w:ascii="Times New Roman" w:hAnsi="Times New Roman" w:cs="Times New Roman"/>
        </w:rPr>
        <w:t xml:space="preserve"> Analyzes export and import trends of ELISA-based IVD kits and outlines harmonized regulatory frameworks across major markets (FDA, EMA, TGA, PMDA). Supports regulatory justification for global SOP usage.</w:t>
      </w:r>
    </w:p>
    <w:p w14:paraId="2EE8A336" w14:textId="77777777" w:rsidR="004D1E94" w:rsidRPr="00D26E8C" w:rsidRDefault="004D1E94">
      <w:pPr>
        <w:rPr>
          <w:rFonts w:ascii="Times New Roman" w:hAnsi="Times New Roman" w:cs="Times New Roman"/>
        </w:rPr>
      </w:pPr>
    </w:p>
    <w:sectPr w:rsidR="004D1E94" w:rsidRPr="00D26E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E8C"/>
    <w:rsid w:val="003B3BE5"/>
    <w:rsid w:val="004D1E94"/>
    <w:rsid w:val="00D26E8C"/>
    <w:rsid w:val="00E47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51176"/>
  <w15:chartTrackingRefBased/>
  <w15:docId w15:val="{A10692EF-5327-451F-8210-E2A0D19F9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E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6E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6E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E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E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E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6E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E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E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E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E8C"/>
    <w:rPr>
      <w:rFonts w:eastAsiaTheme="majorEastAsia" w:cstheme="majorBidi"/>
      <w:color w:val="272727" w:themeColor="text1" w:themeTint="D8"/>
    </w:rPr>
  </w:style>
  <w:style w:type="paragraph" w:styleId="Title">
    <w:name w:val="Title"/>
    <w:basedOn w:val="Normal"/>
    <w:next w:val="Normal"/>
    <w:link w:val="TitleChar"/>
    <w:uiPriority w:val="10"/>
    <w:qFormat/>
    <w:rsid w:val="00D26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E8C"/>
    <w:pPr>
      <w:spacing w:before="160"/>
      <w:jc w:val="center"/>
    </w:pPr>
    <w:rPr>
      <w:i/>
      <w:iCs/>
      <w:color w:val="404040" w:themeColor="text1" w:themeTint="BF"/>
    </w:rPr>
  </w:style>
  <w:style w:type="character" w:customStyle="1" w:styleId="QuoteChar">
    <w:name w:val="Quote Char"/>
    <w:basedOn w:val="DefaultParagraphFont"/>
    <w:link w:val="Quote"/>
    <w:uiPriority w:val="29"/>
    <w:rsid w:val="00D26E8C"/>
    <w:rPr>
      <w:i/>
      <w:iCs/>
      <w:color w:val="404040" w:themeColor="text1" w:themeTint="BF"/>
    </w:rPr>
  </w:style>
  <w:style w:type="paragraph" w:styleId="ListParagraph">
    <w:name w:val="List Paragraph"/>
    <w:basedOn w:val="Normal"/>
    <w:uiPriority w:val="34"/>
    <w:qFormat/>
    <w:rsid w:val="00D26E8C"/>
    <w:pPr>
      <w:ind w:left="720"/>
      <w:contextualSpacing/>
    </w:pPr>
  </w:style>
  <w:style w:type="character" w:styleId="IntenseEmphasis">
    <w:name w:val="Intense Emphasis"/>
    <w:basedOn w:val="DefaultParagraphFont"/>
    <w:uiPriority w:val="21"/>
    <w:qFormat/>
    <w:rsid w:val="00D26E8C"/>
    <w:rPr>
      <w:i/>
      <w:iCs/>
      <w:color w:val="0F4761" w:themeColor="accent1" w:themeShade="BF"/>
    </w:rPr>
  </w:style>
  <w:style w:type="paragraph" w:styleId="IntenseQuote">
    <w:name w:val="Intense Quote"/>
    <w:basedOn w:val="Normal"/>
    <w:next w:val="Normal"/>
    <w:link w:val="IntenseQuoteChar"/>
    <w:uiPriority w:val="30"/>
    <w:qFormat/>
    <w:rsid w:val="00D26E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E8C"/>
    <w:rPr>
      <w:i/>
      <w:iCs/>
      <w:color w:val="0F4761" w:themeColor="accent1" w:themeShade="BF"/>
    </w:rPr>
  </w:style>
  <w:style w:type="character" w:styleId="IntenseReference">
    <w:name w:val="Intense Reference"/>
    <w:basedOn w:val="DefaultParagraphFont"/>
    <w:uiPriority w:val="32"/>
    <w:qFormat/>
    <w:rsid w:val="00D26E8C"/>
    <w:rPr>
      <w:b/>
      <w:bCs/>
      <w:smallCaps/>
      <w:color w:val="0F4761" w:themeColor="accent1" w:themeShade="BF"/>
      <w:spacing w:val="5"/>
    </w:rPr>
  </w:style>
  <w:style w:type="character" w:styleId="Hyperlink">
    <w:name w:val="Hyperlink"/>
    <w:basedOn w:val="DefaultParagraphFont"/>
    <w:uiPriority w:val="99"/>
    <w:unhideWhenUsed/>
    <w:rsid w:val="00D26E8C"/>
    <w:rPr>
      <w:color w:val="467886" w:themeColor="hyperlink"/>
      <w:u w:val="single"/>
    </w:rPr>
  </w:style>
  <w:style w:type="character" w:styleId="UnresolvedMention">
    <w:name w:val="Unresolved Mention"/>
    <w:basedOn w:val="DefaultParagraphFont"/>
    <w:uiPriority w:val="99"/>
    <w:semiHidden/>
    <w:unhideWhenUsed/>
    <w:rsid w:val="00D26E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who.int/publications/m/item/trends-immunoassay-ivd-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531</Words>
  <Characters>3032</Characters>
  <Application>Microsoft Office Word</Application>
  <DocSecurity>0</DocSecurity>
  <Lines>25</Lines>
  <Paragraphs>7</Paragraphs>
  <ScaleCrop>false</ScaleCrop>
  <Company/>
  <LinksUpToDate>false</LinksUpToDate>
  <CharactersWithSpaces>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Myesha Iqbal</dc:creator>
  <cp:keywords/>
  <dc:description/>
  <cp:lastModifiedBy>Myesha Iqbal</cp:lastModifiedBy>
  <cp:revision>1</cp:revision>
  <dcterms:created xsi:type="dcterms:W3CDTF">2025-11-10T18:55:00Z</dcterms:created>
  <dcterms:modified xsi:type="dcterms:W3CDTF">2025-11-10T18:56:00Z</dcterms:modified>
</cp:coreProperties>
</file>