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1A43" w14:textId="77777777" w:rsidR="00A26BF9" w:rsidRDefault="00000000">
      <w:pPr>
        <w:pStyle w:val="Title"/>
      </w:pPr>
      <w:r>
        <w:t>Smart Quality Integration Project Plan &amp; Stakeholder Briefing</w:t>
      </w:r>
    </w:p>
    <w:p w14:paraId="127443C0" w14:textId="77777777" w:rsidR="00A26BF9" w:rsidRDefault="00000000">
      <w:r>
        <w:t>This document provides a comprehensive technical overview and stakeholder-oriented plan for the Smart Quality Integration project. It is structured to support use in stakeholder briefings, funding justification, SOP/QMS rollouts, and audit readiness for FDA and ISO compliance environments. The plan aligns with regulatory standards including 21 CFR Part 820, ISO 13485, and ISO 14971, while addressing financial ROI through measurable KPIs tracked within a QMS framework.</w:t>
      </w:r>
    </w:p>
    <w:p w14:paraId="1157D433" w14:textId="77777777" w:rsidR="00A26BF9" w:rsidRDefault="00000000">
      <w:pPr>
        <w:pStyle w:val="Heading1"/>
      </w:pPr>
      <w:r>
        <w:t>1. Supplementary Technical Narrative</w:t>
      </w:r>
    </w:p>
    <w:p w14:paraId="71746BE3" w14:textId="77777777" w:rsidR="00A26BF9" w:rsidRDefault="00000000">
      <w:r>
        <w:t>This quality-based logical project plan incorporates IoT-connected RTDs, MES/QMS integration, and digital twin simulations to ensure compliance and operational excellence. Static KPIs and ROI metrics are linked to performance thresholds and alert triggers, enabling proactive quality control and reduced operational risks.</w:t>
      </w:r>
      <w:r>
        <w:br/>
      </w:r>
      <w:r>
        <w:br/>
        <w:t>Key integration logic includes:</w:t>
      </w:r>
      <w:r>
        <w:br/>
        <w:t>- Process validation points: Sensor Calibration, Data Logging, Digital Twin Simulation</w:t>
      </w:r>
      <w:r>
        <w:br/>
        <w:t>- System Integration Points: IoT edge gateways → MQTT/TLS → MES → QMS</w:t>
      </w:r>
      <w:r>
        <w:br/>
        <w:t>- Static Thresholds: RTD ±0.15°C, Anomaly Rate &lt;2%, Batch Yield ≥99.5%</w:t>
      </w:r>
      <w:r>
        <w:br/>
        <w:t>- Risk Controls: Automated CAPA, Deviation Alerts, Data Traceability (21 CFR Part 11)</w:t>
      </w:r>
      <w:r>
        <w:br/>
        <w:t>- Dashboards: QMS ROI tracking for Audit Speed, CAPA Reduction, Batch Yield</w:t>
      </w:r>
    </w:p>
    <w:p w14:paraId="1A5BC89F" w14:textId="77777777" w:rsidR="00A26BF9" w:rsidRDefault="00000000">
      <w:pPr>
        <w:pStyle w:val="Heading1"/>
      </w:pPr>
      <w:r>
        <w:t>2. Engineering Validation Flow</w:t>
      </w:r>
    </w:p>
    <w:p w14:paraId="4E2C37A1" w14:textId="77777777" w:rsidR="00A26BF9" w:rsidRDefault="00000000">
      <w:r>
        <w:t>The engineering validation follows a structured data chain from calibration to audit readiness:</w:t>
      </w:r>
      <w:r>
        <w:br/>
        <w:t>1. Sensor Installation (RTD, pH, OD) → Calibration Logs Stored</w:t>
      </w:r>
      <w:r>
        <w:br/>
        <w:t>2. IoT Signal Transmission → Edge Gateway → Cloud &amp; MES Sync</w:t>
      </w:r>
      <w:r>
        <w:br/>
        <w:t>3. Data Stream Validation (Checksum, Timestamps, Encryption Verification)</w:t>
      </w:r>
      <w:r>
        <w:br/>
        <w:t>4. Digital Twin Modeling → Match % to Simulated Ideal → Flag Deviation</w:t>
      </w:r>
      <w:r>
        <w:br/>
        <w:t>5. Real-Time Anomaly Detection → CAPA Trigger → Audit Trail Update</w:t>
      </w:r>
      <w:r>
        <w:br/>
        <w:t>6. MES/QMS Sync: Data Packets Recorded in Batch Record &amp; Audit Log</w:t>
      </w:r>
      <w:r>
        <w:br/>
        <w:t>7. Final Validation Review: QA Sign-off + Regulatory Lock</w:t>
      </w:r>
    </w:p>
    <w:p w14:paraId="115EFA5A" w14:textId="77777777" w:rsidR="00A26BF9" w:rsidRDefault="00000000">
      <w:pPr>
        <w:pStyle w:val="Heading1"/>
      </w:pPr>
      <w:r>
        <w:t>3. Stakeholder Responsibility Mapping</w:t>
      </w:r>
    </w:p>
    <w:p w14:paraId="03B70087" w14:textId="77777777" w:rsidR="00A26BF9" w:rsidRDefault="00000000">
      <w:r>
        <w:t>Roles and responsibilities are clearly mapped across the smart quality ecosystem:</w:t>
      </w:r>
      <w:r>
        <w:br/>
      </w:r>
      <w:r>
        <w:br/>
        <w:t>- QA: Process Validation, CAPA Oversight, Internal Audits</w:t>
      </w:r>
      <w:r>
        <w:br/>
      </w:r>
      <w:r>
        <w:lastRenderedPageBreak/>
        <w:t>- Regulatory Affairs: Labeling, UDI Compliance, FDA/ISO Submissions</w:t>
      </w:r>
      <w:r>
        <w:br/>
        <w:t>- IT/Data Governance: Secure IoT Data Pipelines, Part 11 Compliance</w:t>
      </w:r>
      <w:r>
        <w:br/>
        <w:t>- Engineering: Sensor Setup, Calibration, Digital Twin Maintenance</w:t>
      </w:r>
      <w:r>
        <w:br/>
        <w:t>- Manufacturing Operations: Process Execution, MES Integration, SOP Compliance</w:t>
      </w:r>
      <w:r>
        <w:br/>
        <w:t>- Executive/CFO: ROI Monitoring, Budget Allocation, Program Scalability</w:t>
      </w:r>
    </w:p>
    <w:p w14:paraId="1E9BE681" w14:textId="77777777" w:rsidR="00A26BF9" w:rsidRDefault="00000000">
      <w:pPr>
        <w:pStyle w:val="Heading1"/>
      </w:pPr>
      <w:r>
        <w:t>4. KPI to ROI QMS Dashboard Tracking</w:t>
      </w:r>
    </w:p>
    <w:p w14:paraId="5DE6A3D3" w14:textId="77777777" w:rsidR="00A26BF9" w:rsidRDefault="00000000">
      <w:r>
        <w:t>Each operational and compliance ROI is anchored in measurable KPIs tracked within QMS dashboards:</w:t>
      </w:r>
      <w:r>
        <w:br/>
      </w:r>
      <w:r>
        <w:br/>
        <w:t>- RTD Accuracy ±0.15°C → Triggers Deviation Reports</w:t>
      </w:r>
      <w:r>
        <w:br/>
        <w:t>- 99.5% Batch Yield → Tracked via MES Lot Summary</w:t>
      </w:r>
      <w:r>
        <w:br/>
        <w:t>- CAPA Closure Time → Measured through CAPA SLA Reports</w:t>
      </w:r>
      <w:r>
        <w:br/>
        <w:t>- Audit Readiness Completion % → Document Control System</w:t>
      </w:r>
      <w:r>
        <w:br/>
        <w:t>- SOP Training Compliance % → LMS Integration for Workforce Alignment</w:t>
      </w:r>
    </w:p>
    <w:p w14:paraId="7427C1FF" w14:textId="77777777" w:rsidR="00A26BF9" w:rsidRDefault="00000000">
      <w:pPr>
        <w:pStyle w:val="Heading1"/>
      </w:pPr>
      <w:r>
        <w:t>5. Use Case Alignment &amp; Justification</w:t>
      </w:r>
    </w:p>
    <w:p w14:paraId="344A4681" w14:textId="77777777" w:rsidR="00A26BF9" w:rsidRDefault="00000000">
      <w:r>
        <w:t>This project is purpose-built to support the following critical business use cases:</w:t>
      </w:r>
      <w:r>
        <w:br/>
      </w:r>
      <w:r>
        <w:br/>
        <w:t>- Initial Stakeholder Briefings: Provides clear ROI visibility and operational alignment</w:t>
      </w:r>
      <w:r>
        <w:br/>
        <w:t>- Funding Justification: Demonstrates measurable value in audit efficiency, yield, and automation</w:t>
      </w:r>
      <w:r>
        <w:br/>
        <w:t>- SOP/QMS Rollouts: Reinforces workforce training and procedural adherence</w:t>
      </w:r>
      <w:r>
        <w:br/>
        <w:t>- FDA/ISO Audit Readiness: Maintains validated systems, real-time traceability, and audit trails</w:t>
      </w:r>
    </w:p>
    <w:p w14:paraId="207F87E0" w14:textId="77777777" w:rsidR="00A26BF9" w:rsidRDefault="00000000">
      <w:pPr>
        <w:pStyle w:val="Heading1"/>
      </w:pPr>
      <w:r>
        <w:t>6. Evaluation Integrity Statement</w:t>
      </w:r>
    </w:p>
    <w:p w14:paraId="578C5B04" w14:textId="77777777" w:rsidR="00A26BF9" w:rsidRDefault="00000000">
      <w:r>
        <w:t>This technical plan is prepared with full adherence to ethical writing standards and originality. All evaluations presented are unbiased and reflect a comprehensive understanding of stakeholder roles, operational systems, and regulatory mandates. No proprietary or plagiarized content is included; all project assessments are based on standardized industry practices and realistic use cases applicable to medical manufacturing and quality systems.</w:t>
      </w:r>
    </w:p>
    <w:sectPr w:rsidR="00A26B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343297">
    <w:abstractNumId w:val="8"/>
  </w:num>
  <w:num w:numId="2" w16cid:durableId="121113817">
    <w:abstractNumId w:val="6"/>
  </w:num>
  <w:num w:numId="3" w16cid:durableId="1307709047">
    <w:abstractNumId w:val="5"/>
  </w:num>
  <w:num w:numId="4" w16cid:durableId="1630472724">
    <w:abstractNumId w:val="4"/>
  </w:num>
  <w:num w:numId="5" w16cid:durableId="22637822">
    <w:abstractNumId w:val="7"/>
  </w:num>
  <w:num w:numId="6" w16cid:durableId="1549687595">
    <w:abstractNumId w:val="3"/>
  </w:num>
  <w:num w:numId="7" w16cid:durableId="946816780">
    <w:abstractNumId w:val="2"/>
  </w:num>
  <w:num w:numId="8" w16cid:durableId="1684891910">
    <w:abstractNumId w:val="1"/>
  </w:num>
  <w:num w:numId="9" w16cid:durableId="201702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26BF9"/>
    <w:rsid w:val="00AA1D8D"/>
    <w:rsid w:val="00AC30E0"/>
    <w:rsid w:val="00B47730"/>
    <w:rsid w:val="00CB0664"/>
    <w:rsid w:val="00F17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F8FA8"/>
  <w14:defaultImageDpi w14:val="300"/>
  <w15:docId w15:val="{654AE560-C189-48D4-8385-193A4AE3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Myesha Iqbal</cp:lastModifiedBy>
  <cp:revision>2</cp:revision>
  <dcterms:created xsi:type="dcterms:W3CDTF">2025-11-11T19:27:00Z</dcterms:created>
  <dcterms:modified xsi:type="dcterms:W3CDTF">2025-11-11T19:27:00Z</dcterms:modified>
  <cp:category/>
</cp:coreProperties>
</file>