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김명준 경력기술서</w:t>
      </w:r>
    </w:p>
    <w:p>
      <w:pPr>
        <w:spacing w:after="280"/>
      </w:pPr>
      <w:r>
        <w:rPr>
          <w:rFonts w:ascii="Malgun Gothic" w:hAnsi="Malgun Gothic" w:eastAsia="Malgun Gothic"/>
          <w:b/>
          <w:color w:val="57534E"/>
          <w:sz w:val="22"/>
        </w:rPr>
        <w:t>김명준</w:t>
      </w:r>
    </w:p>
    <w:p>
      <w:pPr>
        <w:spacing w:after="280"/>
      </w:pPr>
      <w:r>
        <w:rPr>
          <w:rFonts w:ascii="Malgun Gothic" w:hAnsi="Malgun Gothic" w:eastAsia="Malgun Gothic"/>
          <w:sz w:val="22"/>
        </w:rPr>
        <w:t>프로젝트마다 맡은 역할과 상황, 행동, 결과를 확인 가능한 사실로 정리했습니다.</w:t>
      </w:r>
    </w:p>
    <w:p>
      <w:pPr>
        <w:pStyle w:val="Heading1"/>
      </w:pPr>
      <w:r>
        <w:t>CLOV 팀 프로젝트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2026.06 - 2026.08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팀장 · 풀스택 개발자 · 4인 팀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능력  </w:t>
      </w:r>
      <w:r>
        <w:rPr>
          <w:rFonts w:ascii="Malgun Gothic" w:hAnsi="Malgun Gothic" w:eastAsia="Malgun Gothic"/>
          <w:sz w:val="21"/>
        </w:rPr>
        <w:t>대인관계력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8208"/>
      </w:tblGrid>
      <w:tr>
        <w:trPr>
          <w:tblHeader w:val="true"/>
        </w:trPr>
        <w:tc>
          <w:tcPr>
            <w:tcW w:type="dxa" w:w="4997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997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상황</w:t>
            </w:r>
          </w:p>
        </w:tc>
        <w:tc>
          <w:tcPr>
            <w:tcW w:type="dxa" w:w="8208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비전공자 세 명이 포함된 팀의 첫 모임에 두 명만 참석했고, 서로 다른 AI 도구에서 만든 코드가 자주 충돌했습니다.</w:t>
            </w:r>
          </w:p>
        </w:tc>
      </w:tr>
      <w:tr>
        <w:tc>
          <w:tcPr>
            <w:tcW w:type="dxa" w:w="1440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행동</w:t>
            </w:r>
          </w:p>
        </w:tc>
        <w:tc>
          <w:tcPr>
            <w:tcW w:type="dxa" w:w="8208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기능을 볼 수 있는 프로토타입을 먼저 만들고 이슈 작성, 실행 확인, 코드 리뷰 뒤 머지하는 흐름을 운영했습니다.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결과</w:t>
            </w:r>
          </w:p>
        </w:tc>
        <w:tc>
          <w:tcPr>
            <w:tcW w:type="dxa" w:w="8208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2026년 8월 4일까지 이슈 152개와 PR 266개를 기록했고, 직접 리뷰한 PR 72개를 포함해 서비스를 HTTPS 환경에 배포했습니다.</w:t>
            </w:r>
          </w:p>
        </w:tc>
      </w:tr>
    </w:tbl>
    <w:p>
      <w:pPr>
        <w:spacing w:before="120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hyperlink r:id="rId9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</w:p>
    <w:p>
      <w:hyperlink r:id="rId10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pStyle w:val="Heading1"/>
      </w:pPr>
      <w:r>
        <w:t>10번 과제 · 네트워크 침입 탐지 연구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연구 설계 · 구현 · 검증 · 논문 작성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능력  </w:t>
      </w:r>
      <w:r>
        <w:rPr>
          <w:rFonts w:ascii="Malgun Gothic" w:hAnsi="Malgun Gothic" w:eastAsia="Malgun Gothic"/>
          <w:sz w:val="21"/>
        </w:rPr>
        <w:t>자기동기력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8208"/>
      </w:tblGrid>
      <w:tr>
        <w:trPr>
          <w:tblHeader w:val="true"/>
        </w:trPr>
        <w:tc>
          <w:tcPr>
            <w:tcW w:type="dxa" w:w="4997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997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상황</w:t>
            </w:r>
          </w:p>
        </w:tc>
        <w:tc>
          <w:tcPr>
            <w:tcW w:type="dxa" w:w="8208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무작위 분할에서 높은 탐지 점수가 실제로 처음 보는 공격에 일반화되는지 확인할 필요가 있었습니다.</w:t>
            </w:r>
          </w:p>
        </w:tc>
      </w:tr>
      <w:tr>
        <w:tc>
          <w:tcPr>
            <w:tcW w:type="dxa" w:w="1440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행동</w:t>
            </w:r>
          </w:p>
        </w:tc>
        <w:tc>
          <w:tcPr>
            <w:tcW w:type="dxa" w:w="8208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CICIDS2017 2,830,743건을 감사하고 무작위 분할과 미관측 공격 분할에서 세 모델을 비교했으며 SHAP 설명 안정성을 확인했습니다.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결과</w:t>
            </w:r>
          </w:p>
        </w:tc>
        <w:tc>
          <w:tcPr>
            <w:tcW w:type="dxa" w:w="8208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XGBoost Macro F1이 0.9979에서 0.3871로 낮아지는 격차를 재현 자료와 함께 논문으로 제출했습니다.</w:t>
            </w:r>
          </w:p>
        </w:tc>
      </w:tr>
    </w:tbl>
    <w:p>
      <w:pPr>
        <w:spacing w:before="120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hyperlink r:id="rId11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pStyle w:val="Heading1"/>
      </w:pPr>
      <w:r>
        <w:t>8번 과제 · 패스키로 잠근 비공개 영역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WebAuthn 인증 설계 · 구현 · 검증 ·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능력  </w:t>
      </w:r>
      <w:r>
        <w:rPr>
          <w:rFonts w:ascii="Malgun Gothic" w:hAnsi="Malgun Gothic" w:eastAsia="Malgun Gothic"/>
          <w:sz w:val="21"/>
        </w:rPr>
        <w:t>자기조절력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8208"/>
      </w:tblGrid>
      <w:tr>
        <w:trPr>
          <w:tblHeader w:val="true"/>
        </w:trPr>
        <w:tc>
          <w:tcPr>
            <w:tcW w:type="dxa" w:w="4997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997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상황</w:t>
            </w:r>
          </w:p>
        </w:tc>
        <w:tc>
          <w:tcPr>
            <w:tcW w:type="dxa" w:w="8208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공개 소개 페이지는 그대로 열어 두면서 비공개 자료는 비밀번호 없이 본인만 볼 수 있게 나눠야 했습니다.</w:t>
            </w:r>
          </w:p>
        </w:tc>
      </w:tr>
      <w:tr>
        <w:tc>
          <w:tcPr>
            <w:tcW w:type="dxa" w:w="1440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행동</w:t>
            </w:r>
          </w:p>
        </w:tc>
        <w:tc>
          <w:tcPr>
            <w:tcW w:type="dxa" w:w="8208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WebAuthn 등록과 로그인을 구현하고, 일회용 질문을 데이터베이스에서 한 번만 사용하게 했습니다. 서버 세션, Origin과 CSRF 검사, 마지막 패스키 삭제 방지까지 요청 단계에서 검증했습니다.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결과</w:t>
            </w:r>
          </w:p>
        </w:tc>
        <w:tc>
          <w:tcPr>
            <w:tcW w:type="dxa" w:w="8208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판정 기준 47개를 모두 충족하고 자동 테스트 50개를 통과했습니다. 공개 화면의 비밀번호 입력 칸은 0개이며, 로그인하지 않은 비공개 요청은 401로 거절합니다.</w:t>
            </w:r>
          </w:p>
        </w:tc>
      </w:tr>
    </w:tbl>
    <w:p>
      <w:pPr>
        <w:spacing w:before="120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hyperlink r:id="rId12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Pickeslog/clov-web" TargetMode="External"/><Relationship Id="rId10" Type="http://schemas.openxmlformats.org/officeDocument/2006/relationships/hyperlink" Target="https://github.com/Pickeslog/clov-api" TargetMode="External"/><Relationship Id="rId11" Type="http://schemas.openxmlformats.org/officeDocument/2006/relationships/hyperlink" Target="https://github.com/myeongjundev/explainsoc-research" TargetMode="External"/><Relationship Id="rId12" Type="http://schemas.openxmlformats.org/officeDocument/2006/relationships/hyperlink" Target="https://github.com/myeongjundev/t08-passkey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경력기술서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