
<file path=[Content_Types].xml><?xml version="1.0" encoding="utf-8"?>
<Types xmlns="http://schemas.openxmlformats.org/package/2006/content-types">
  <Default Extension="gif" ContentType="image/gif"/>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ns3="http://schemas.openxmlformats.org/officeDocument/2006/relationships" xmlns:ns4="http://schemas.microsoft.com/office/word/2012/wordml" xmlns:w="http://schemas.openxmlformats.org/wordprocessingml/2006/main" xmlns:w14="http://schemas.microsoft.com/office/word/2010/wordml" mc:Ignorable="w14 w15 w16se w16cid w16 w16cex w16sdtdh w16du wp14">
  <w:body>
    <w:p w14:paraId="37231BDE" w14:textId="3B5D865C" w:rsidR="00D925D6" w:rsidRPr="000C0099" w:rsidRDefault="00D925D6" w:rsidP="005D61FF">
      <w:pPr>
        <w:pStyle w:val="Heading1"/>
      </w:pPr>
      <w:r w:rsidRPr="000C0099">
        <w:t xml:space="preserve">Concept </w:t>
      </w:r>
      <w:r w:rsidR="00B10F01" w:rsidRPr="000C0099">
        <w:t>c</w:t>
      </w:r>
      <w:r w:rsidRPr="000C0099">
        <w:t xml:space="preserve">ase </w:t>
      </w:r>
      <w:r w:rsidR="00CF138B">
        <w:t>for digital projects</w:t>
      </w:r>
    </w:p>
    <w:p w14:paraId="73F74CAA" w14:textId="35CBD5A7" w:rsidR="00AF2431" w:rsidRDefault="00AF2431" w:rsidP="00AF2431">
      <w:pPr>
        <w:spacing w:after="240" w:line="240" w:lineRule="auto"/>
      </w:pPr>
      <w:r>
        <w:t xml:space="preserve">The Office of the Chief Information Officer (OCIO) of the Treasury Board of Canada Secretariat (TBS) is implementing new measures to improve the outcomes of digital projects across the Government of Canada. Among these measures is a requirement set out in the </w:t>
      </w:r>
      <w:hyperlink ns3:id="rId8" w:history="1">
        <w:r w:rsidRPr="00AF2431">
          <w:rPr>
            <w:rStyle w:val="Hyperlink"/>
          </w:rPr>
          <w:t>Mandatory Procedures for Concept Cases for Digital Projects</w:t>
        </w:r>
      </w:hyperlink>
      <w:r>
        <w:t xml:space="preserve"> that departments must prepare a concept case in support of the possible initiation of digital project to solve a business problem or to take advantage of an opportunity to improve program outcomes.</w:t>
      </w:r>
    </w:p>
    <w:p w14:paraId="71450A58" w14:textId="3B8BA0A3" w:rsidR="00AF2431" w:rsidRDefault="00AF2431" w:rsidP="00AF2431">
      <w:pPr>
        <w:spacing w:after="240"/>
      </w:pPr>
      <w:r>
        <w:t xml:space="preserve">A concept case is an examination of the problem or opportunity, and a description of the conceptual future state and desired business outcome(s). As a result, the concept case identifies the key information upon which a potential future project will be predicated. The concept case should be completed before a business case is started. When completing the concept case, departments must consider how it aligns with the overall strategic direction of the Government of Canada, as well as the departmental investment plan and departmental digital or IT plan. Concept cases must be approved by the business owner (assistant deputy minister level and above) prior to submission to TBS via the program sector analyst, as well as to the </w:t>
      </w:r>
      <w:hyperlink ns3:id="rId9" w:history="1">
        <w:r w:rsidR="006B1732" w:rsidRPr="006B1732">
          <w:rPr>
            <w:rStyle w:val="Hyperlink"/>
          </w:rPr>
          <w:t>OCIOPortfolios-PortefeuillesBDPI@tbs-sct.gc.ca</w:t>
        </w:r>
      </w:hyperlink>
      <w:r w:rsidR="006B1732">
        <w:t xml:space="preserve"> </w:t>
      </w:r>
      <w:r>
        <w:t xml:space="preserve">mailbox, using the template provided in this document. </w:t>
      </w:r>
    </w:p>
    <w:p w14:paraId="00AAC417" w14:textId="77777777" w:rsidR="00AF2431" w:rsidRDefault="00AF2431" w:rsidP="00AF2431">
      <w:pPr>
        <w:spacing w:after="240"/>
      </w:pPr>
      <w:r>
        <w:t>Once submitted, the OCIO at TBS will review all concept cases and provide endorsement and feedback back to the department. This feedback, advice, and/or guidance provided in response can be integrated into the future project activities as it moves forward. The concept case also provides an early signal to TBS with respect to prospective digital projects on the horizon, thereby facilitating earlier engagement prior to significant investments in project definition and before a project course is set.</w:t>
      </w:r>
    </w:p>
    <w:p w14:paraId="759EF135" w14:textId="19A250CC" w:rsidR="00D925D6" w:rsidRPr="005D61FF" w:rsidRDefault="00AF2431" w:rsidP="00AF2431">
      <w:pPr>
        <w:spacing w:after="480"/>
      </w:pPr>
      <w:r>
        <w:t xml:space="preserve">For any questions or concerns regarding the development of the concept case, contact </w:t>
      </w:r>
      <w:hyperlink ns3:id="rId10" w:history="1">
        <w:r w:rsidR="006B1732">
          <w:rPr>
            <w:rStyle w:val="Hyperlink"/>
          </w:rPr>
          <w:t>OCIOPortfolios-PortefeuillesBDPI@tbs-sct.gc.ca</w:t>
        </w:r>
      </w:hyperlink>
      <w:r>
        <w:t xml:space="preserve"> for more information.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Departmental informations"/>
        <w:tblDescription w:val="The Mandatory Procedures for Concept Cases for IT-Enabled Projects must be approved by the business owner (assistant deputy minister level and above) prior to submission to Treasury Board Secretariat of Canada."/>
      </w:tblPr>
      <w:tblGrid>
        <w:gridCol w:w="5124"/>
        <w:gridCol w:w="7836"/>
      </w:tblGrid>
      <w:tr w:rsidR="00427E01" w:rsidRPr="00B10F01" w14:paraId="5D3D848B" w14:textId="77777777" w:rsidTr="005D61FF">
        <w:tc>
          <w:tcPr>
            <w:tcW w:w="1977" w:type="pct"/>
          </w:tcPr>
          <w:p w14:paraId="0C68448A" w14:textId="089F659E" w:rsidR="00427E01" w:rsidRPr="005D61FF" w:rsidRDefault="00F73533" w:rsidP="005D61FF">
            <w:pPr>
              <w:rPr>
                <w:b/>
              </w:rPr>
            </w:pPr>
            <w:r w:rsidRPr="005D61FF">
              <w:rPr>
                <w:b/>
              </w:rPr>
              <w:t xml:space="preserve">Proposed </w:t>
            </w:r>
            <w:r w:rsidR="000A7C4E" w:rsidRPr="005D61FF">
              <w:rPr>
                <w:b/>
              </w:rPr>
              <w:t>i</w:t>
            </w:r>
            <w:r w:rsidRPr="005D61FF">
              <w:rPr>
                <w:b/>
              </w:rPr>
              <w:t>nitiative</w:t>
            </w:r>
            <w:r w:rsidR="00427E01" w:rsidRPr="005D61FF">
              <w:rPr>
                <w:b/>
              </w:rPr>
              <w:t>:</w:t>
            </w:r>
          </w:p>
        </w:tc>
        <w:sdt>
          <w:sdtPr>
            <w:id w:val="-1699154138"/>
          </w:sdtPr>
          <w:sdtContent>
            <w:tc>
              <w:tcPr>
                <w:tcW w:w="3023" w:type="pct"/>
                <w:shd w:val="clear" w:color="auto" w:fill="F2F2F2" w:themeFill="background1" w:themeFillShade="F2"/>
                <w:vAlign w:val="center"/>
              </w:tcPr>
              <w:p>
                <w:pPr>
                  <w:spacing w:after="0" w:line="260" w:lineRule="auto"/>
                  <w:widowControl/>
                </w:pPr>
                <w:r>
                  <w:rPr/>
                  <w:t xml:space="preserve">Government of Canada Enterprise Architecture assessment as a data collection. </w:t>
                </w:r>
                <w:r>
                  <w:rPr>
                    <w:b/>
                    <w:highlight w:val="yellow"/>
                  </w:rPr>
                  <w:t xml:space="preserve">[TO CONFIRM, Dan: the name the initiative should carry.]</w:t>
                </w:r>
              </w:p>
            </w:tc>
          </w:sdtContent>
        </w:sdt>
      </w:tr>
      <w:tr w:rsidR="00427E01" w:rsidRPr="00B10F01" w14:paraId="169A406F" w14:textId="77777777" w:rsidTr="005D61FF">
        <w:tc>
          <w:tcPr>
            <w:tcW w:w="1977" w:type="pct"/>
          </w:tcPr>
          <w:p w14:paraId="1747C3DF" w14:textId="77777777" w:rsidR="00427E01" w:rsidRPr="005D61FF" w:rsidRDefault="00427E01" w:rsidP="005D61FF">
            <w:pPr>
              <w:rPr>
                <w:b/>
              </w:rPr>
            </w:pPr>
            <w:r w:rsidRPr="005D61FF">
              <w:rPr>
                <w:b/>
              </w:rPr>
              <w:t>Department:</w:t>
            </w:r>
          </w:p>
        </w:tc>
        <w:sdt>
          <w:sdtPr>
            <w:id w:val="-294916691"/>
          </w:sdtPr>
          <w:sdtContent>
            <w:tc>
              <w:tcPr>
                <w:tcW w:w="3023" w:type="pct"/>
                <w:shd w:val="clear" w:color="auto" w:fill="F2F2F2" w:themeFill="background1" w:themeFillShade="F2"/>
                <w:vAlign w:val="bottom"/>
              </w:tcPr>
              <w:p>
                <w:pPr>
                  <w:spacing w:after="0" w:line="260" w:lineRule="auto"/>
                  <w:widowControl/>
                </w:pPr>
                <w:r>
                  <w:rPr/>
                  <w:t xml:space="preserve">Treasury Board of Canada Secretariat, Office of the Chief Information Officer.</w:t>
                </w:r>
              </w:p>
            </w:tc>
          </w:sdtContent>
        </w:sdt>
      </w:tr>
      <w:tr w:rsidR="009A2A49" w:rsidRPr="00B10F01" w14:paraId="0FE85585" w14:textId="77777777" w:rsidTr="005D61FF">
        <w:tc>
          <w:tcPr>
            <w:tcW w:w="1977" w:type="pct"/>
            <w:tcBorders>
              <w:right w:val="single" w:sz="4" w:space="0" w:color="FFFFFF" w:themeColor="background1"/>
            </w:tcBorders>
          </w:tcPr>
          <w:p w14:paraId="13DC47B4" w14:textId="29DE4140" w:rsidR="009A2A49" w:rsidRPr="005D61FF" w:rsidRDefault="009A2A49" w:rsidP="005D61FF">
            <w:pPr>
              <w:rPr>
                <w:b/>
              </w:rPr>
            </w:pPr>
            <w:r w:rsidRPr="005D61FF">
              <w:rPr>
                <w:b/>
              </w:rPr>
              <w:t>A</w:t>
            </w:r>
            <w:r w:rsidR="000A7C4E" w:rsidRPr="005D61FF">
              <w:rPr>
                <w:b/>
              </w:rPr>
              <w:t xml:space="preserve">ssistant </w:t>
            </w:r>
            <w:r w:rsidRPr="005D61FF">
              <w:rPr>
                <w:b/>
              </w:rPr>
              <w:t>D</w:t>
            </w:r>
            <w:r w:rsidR="000A7C4E" w:rsidRPr="005D61FF">
              <w:rPr>
                <w:b/>
              </w:rPr>
              <w:t xml:space="preserve">eputy </w:t>
            </w:r>
            <w:r w:rsidRPr="005D61FF">
              <w:rPr>
                <w:b/>
              </w:rPr>
              <w:t>M</w:t>
            </w:r>
            <w:r w:rsidR="000A7C4E" w:rsidRPr="005D61FF">
              <w:rPr>
                <w:b/>
              </w:rPr>
              <w:t>inister</w:t>
            </w:r>
            <w:r w:rsidRPr="005D61FF">
              <w:rPr>
                <w:b/>
              </w:rPr>
              <w:t xml:space="preserve"> </w:t>
            </w:r>
            <w:r w:rsidR="000A7C4E" w:rsidRPr="005D61FF">
              <w:rPr>
                <w:b/>
              </w:rPr>
              <w:t>b</w:t>
            </w:r>
            <w:r w:rsidRPr="005D61FF">
              <w:rPr>
                <w:b/>
              </w:rPr>
              <w:t xml:space="preserve">usiness </w:t>
            </w:r>
            <w:r w:rsidR="000A7C4E" w:rsidRPr="005D61FF">
              <w:rPr>
                <w:b/>
              </w:rPr>
              <w:t>o</w:t>
            </w:r>
            <w:r w:rsidRPr="005D61FF">
              <w:rPr>
                <w:b/>
              </w:rPr>
              <w:t>wner:</w:t>
            </w:r>
          </w:p>
        </w:tc>
        <w:sdt>
          <w:sdtPr>
            <w:id w:val="-1011990488"/>
          </w:sdtPr>
          <w:sdtContent>
            <w:tc>
              <w:tcPr>
                <w:tcW w:w="302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vAlign w:val="bottom"/>
              </w:tcPr>
              <w:p>
                <w:pPr>
                  <w:spacing w:after="0" w:line="260" w:lineRule="auto"/>
                  <w:widowControl/>
                </w:pPr>
                <w:r>
                  <w:rPr>
                    <w:b/>
                    <w:highlight w:val="yellow"/>
                  </w:rPr>
                  <w:t xml:space="preserve">[TO CONFIRM, Dan: the name and title of the ADM who approves and signs. Appendix B B.1.3 requires assistant deputy minister level or above.]</w:t>
                </w:r>
              </w:p>
            </w:tc>
          </w:sdtContent>
        </w:sdt>
      </w:tr>
      <w:tr w:rsidR="00427E01" w:rsidRPr="00B10F01" w14:paraId="3C9AEF36" w14:textId="77777777" w:rsidTr="005D61FF">
        <w:tc>
          <w:tcPr>
            <w:tcW w:w="1977" w:type="pct"/>
          </w:tcPr>
          <w:p w14:paraId="36C37593" w14:textId="77777777" w:rsidR="00427E01" w:rsidRPr="005D61FF" w:rsidRDefault="00427E01" w:rsidP="005D61FF">
            <w:pPr>
              <w:rPr>
                <w:b/>
              </w:rPr>
            </w:pPr>
            <w:r w:rsidRPr="005D61FF">
              <w:rPr>
                <w:b/>
              </w:rPr>
              <w:t>Date:</w:t>
            </w:r>
          </w:p>
        </w:tc>
        <w:sdt>
          <w:sdtPr>
            <w:id w:val="-1304389930"/>
          </w:sdtPr>
          <w:sdtContent>
            <w:tc>
              <w:tcPr>
                <w:tcW w:w="3023" w:type="pct"/>
                <w:shd w:val="clear" w:color="auto" w:fill="F2F2F2" w:themeFill="background1" w:themeFillShade="F2"/>
                <w:vAlign w:val="bottom"/>
              </w:tcPr>
              <w:p>
                <w:pPr>
                  <w:spacing w:after="0" w:line="260" w:lineRule="auto"/>
                  <w:widowControl/>
                </w:pPr>
                <w:r>
                  <w:rPr>
                    <w:b/>
                    <w:highlight w:val="yellow"/>
                  </w:rPr>
                  <w:t xml:space="preserve">[TO CONFIRM: the date of signature.]</w:t>
                </w:r>
              </w:p>
            </w:tc>
          </w:sdtContent>
        </w:sdt>
      </w:tr>
      <w:tr w:rsidR="00A76B13" w:rsidRPr="00B10F01" w14:paraId="1232776B" w14:textId="77777777" w:rsidTr="00A76B13">
        <w:trPr>
          <w:trHeight w:val="1191"/>
        </w:trPr>
        <w:tc>
          <w:tcPr>
            <w:tcW w:w="1977" w:type="pct"/>
            <w:shd w:val="clear" w:color="auto" w:fill="auto"/>
            <w:vAlign w:val="bottom"/>
          </w:tcPr>
          <w:p w14:paraId="433A9D18" w14:textId="530AECEE" w:rsidR="00A76B13" w:rsidRPr="005D61FF" w:rsidRDefault="00A76B13" w:rsidP="00A76B13">
            <w:pPr>
              <w:rPr>
                <w:b/>
              </w:rPr>
            </w:pPr>
            <w:r>
              <w:rPr>
                <w:b/>
              </w:rPr>
              <w:t>Signature:</w:t>
            </w:r>
          </w:p>
        </w:tc>
        <w:tc>
          <w:tcPr>
            <w:tcW w:w="3023" w:type="pct"/>
            <w:shd w:val="clear" w:color="auto" w:fill="auto"/>
            <w:vAlign w:val="bottom"/>
          </w:tcPr>
          <w:p w14:paraId="3AA97677" w14:textId="77777777" w:rsidR="00A76B13" w:rsidRDefault="00A76B13" w:rsidP="005D61FF"/>
        </w:tc>
      </w:tr>
    </w:tbl>
    <w:p w14:paraId="1ED7CBA7" w14:textId="69AFD9D4" w:rsidR="00427E01" w:rsidRPr="00B10F01" w:rsidRDefault="00427E01" w:rsidP="005D61FF"/>
    <w:tbl>
      <w:tblPr>
        <w:tblStyle w:val="TableGrid"/>
        <w:tblW w:w="5000" w:type="pct"/>
        <w:tblLook w:val="04A0" w:firstRow="1" w:lastRow="0" w:firstColumn="1" w:lastColumn="0" w:noHBand="0" w:noVBand="1"/>
        <w:tblCaption w:val="Problem or opportunity statement"/>
        <w:tblDescription w:val="Provide a succinct problem statement (ideally a single sentence) which describes the business problem, the key stakeholders affected, and the reason why this is important.&#10;&#10;Example: Department XYZ lacks a capability to manage the end-to-end client journey of Canadian citizens resulting in service 20% below standard and lost files.&#10;"/>
      </w:tblPr>
      <w:tblGrid>
        <w:gridCol w:w="12950"/>
      </w:tblGrid>
      <w:tr w:rsidR="00427E01" w:rsidRPr="00B10F01" w14:paraId="0FFAE33E" w14:textId="77777777" w:rsidTr="00E8215B">
        <w:trPr>
          <w:tblHeader/>
        </w:trPr>
        <w:tc>
          <w:tcPr>
            <w:tcW w:w="5000" w:type="pct"/>
            <w:shd w:val="clear" w:color="auto" w:fill="2E74B5" w:themeFill="accent1" w:themeFillShade="BF"/>
          </w:tcPr>
          <w:p w14:paraId="57AC81C2" w14:textId="1589CE6A" w:rsidR="00427E01" w:rsidRPr="00D01178" w:rsidRDefault="00B10F01" w:rsidP="00D01178">
            <w:pPr>
              <w:pStyle w:val="Heading2"/>
            </w:pPr>
            <w:r w:rsidRPr="00D01178">
              <w:t>Problem or opportunity statement</w:t>
            </w:r>
          </w:p>
        </w:tc>
      </w:tr>
      <w:tr w:rsidR="00D01178" w:rsidRPr="00B10F01" w14:paraId="5149CE32" w14:textId="77777777" w:rsidTr="00682A04">
        <w:trPr>
          <w:trHeight w:val="3231"/>
        </w:trPr>
        <w:sdt>
          <w:sdtPr>
            <w:id w:val="-319970866"/>
            <ns4:color w:val="999999"/>
          </w:sdtPr>
          <w:sdtContent>
            <w:tc>
              <w:tcPr>
                <w:tcW w:w="5000" w:type="pct"/>
              </w:tcPr>
              <w:p>
                <w:pPr>
                  <w:spacing w:after="0" w:line="260" w:lineRule="auto"/>
                  <w:widowControl/>
                </w:pPr>
                <w:r>
                  <w:rPr/>
                  <w:t xml:space="preserve">The Government of Canada Enterprise Architecture assessment is collected on a PowerPoint template and scored by hand, leaving GC EARB and departments with more than 700 completed assessments and no comparable data.</w:t>
                </w:r>
              </w:p>
            </w:tc>
          </w:sdtContent>
        </w:sdt>
      </w:tr>
    </w:tbl>
    <w:p w14:paraId="22526772" w14:textId="77777777" w:rsidR="00BF0C44" w:rsidRPr="00B10F01" w:rsidRDefault="00BF0C44" w:rsidP="005D61FF"/>
    <w:tbl>
      <w:tblPr>
        <w:tblStyle w:val="TableGrid"/>
        <w:tblW w:w="5034" w:type="pct"/>
        <w:tblLook w:val="04A0" w:firstRow="1" w:lastRow="0" w:firstColumn="1" w:lastColumn="0" w:noHBand="0" w:noVBand="1"/>
        <w:tblCaption w:val="Current state or context"/>
        <w:tblDescription w:val="Elaborate on the context within which the problem occurs, and provide objective evidence, such as KPIs or metrics, that demonstrate the magnitude of the problem."/>
      </w:tblPr>
      <w:tblGrid>
        <w:gridCol w:w="13038"/>
      </w:tblGrid>
      <w:tr w:rsidR="00427E01" w:rsidRPr="00B10F01" w14:paraId="066DD577" w14:textId="77777777" w:rsidTr="00E8215B">
        <w:trPr>
          <w:cantSplit/>
          <w:tblHeader/>
        </w:trPr>
        <w:tc>
          <w:tcPr>
            <w:tcW w:w="5000" w:type="pct"/>
            <w:shd w:val="clear" w:color="auto" w:fill="2E74B5" w:themeFill="accent1" w:themeFillShade="BF"/>
          </w:tcPr>
          <w:p w14:paraId="4E574E90" w14:textId="28ECF294" w:rsidR="00427E01" w:rsidRPr="00B10F01" w:rsidRDefault="00B10F01" w:rsidP="00D01178">
            <w:pPr>
              <w:pStyle w:val="Heading2"/>
            </w:pPr>
            <w:r w:rsidRPr="00B10F01">
              <w:t xml:space="preserve">Current </w:t>
            </w:r>
            <w:r>
              <w:t>s</w:t>
            </w:r>
            <w:r w:rsidRPr="00B10F01">
              <w:t>tate</w:t>
            </w:r>
            <w:r w:rsidR="000A7C4E">
              <w:t xml:space="preserve"> or c</w:t>
            </w:r>
            <w:r w:rsidRPr="00B10F01">
              <w:t>ontext</w:t>
            </w:r>
          </w:p>
        </w:tc>
      </w:tr>
      <w:tr w:rsidR="00427E01" w:rsidRPr="00B10F01" w14:paraId="748910E4" w14:textId="77777777" w:rsidTr="00682A04">
        <w:trPr>
          <w:cantSplit/>
          <w:trHeight w:val="3231"/>
        </w:trPr>
        <w:sdt>
          <w:sdtPr>
            <w:id w:val="-673806859"/>
          </w:sdtPr>
          <w:sdtContent>
            <w:tc>
              <w:tcPr>
                <w:tcW w:w="5000" w:type="pct"/>
              </w:tcPr>
              <w:p>
                <w:pPr>
                  <w:spacing w:after="120" w:line="260" w:lineRule="auto"/>
                  <w:widowControl/>
                </w:pPr>
                <w:r>
                  <w:rPr>
                    <w:b/>
                  </w:rPr>
                  <w:t xml:space="preserve">The instrument.</w:t>
                </w:r>
                <w:r>
                  <w:rPr/>
                  <w:t xml:space="preserve"> 176 questions across four architecture domains, each scored on an eleven-rung scale from Absent to Symbiotic. It is issued as a PowerPoint template and returned as one. The score deck the board reads is built by hand from those returns.</w:t>
                </w:r>
              </w:p>
              <w:p>
                <w:pPr>
                  <w:spacing w:after="120" w:line="260" w:lineRule="auto"/>
                  <w:widowControl/>
                </w:pPr>
                <w:r>
                  <w:rPr>
                    <w:b/>
                  </w:rPr>
                  <w:t xml:space="preserve">The volume.</w:t>
                </w:r>
                <w:r>
                  <w:rPr/>
                  <w:t xml:space="preserve"> More than 700 completed assessments exist. Every answer inside them is a sentence on a slide, so none of it can be totalled, compared across departments or tracked over time without somebody retyping it first. Asked what a picklist drawn from those past answers would cover, the programme’s own estimate was 99% of submitters.</w:t>
                </w:r>
              </w:p>
              <w:p>
                <w:pPr>
                  <w:spacing w:after="120" w:line="260" w:lineRule="auto"/>
                  <w:widowControl/>
                </w:pPr>
                <w:r>
                  <w:rPr>
                    <w:b/>
                  </w:rPr>
                  <w:t xml:space="preserve">The audit effort.</w:t>
                </w:r>
                <w:r>
                  <w:rPr/>
                  <w:t xml:space="preserve"> On a full submission the answers that fail to add up run to single digits out of 176. An assessor reads all 176 to find them.</w:t>
                </w:r>
              </w:p>
              <w:p>
                <w:pPr>
                  <w:spacing w:after="120" w:line="260" w:lineRule="auto"/>
                  <w:widowControl/>
                </w:pPr>
                <w:r>
                  <w:rPr>
                    <w:b/>
                  </w:rPr>
                  <w:t xml:space="preserve">Faults in the instrument that only data exposes.</w:t>
                </w:r>
                <w:r>
                  <w:rPr/>
                  <w:t xml:space="preserve"> A prototype built during a co-op term imported the question set as structured data, and two defects surfaced immediately.</w:t>
                </w:r>
              </w:p>
              <w:p>
                <w:pPr>
                  <w:spacing w:after="120" w:line="260" w:lineRule="auto"/>
                  <w:ind w:left="360" w:hanging="360"/>
                  <w:widowControl/>
                </w:pPr>
                <w:r>
                  <w:rPr/>
                  <w:t xml:space="preserve">1. The Business Architecture section weights </w:t>
                </w:r>
                <w:r>
                  <w:rPr>
                    <w:b/>
                  </w:rPr>
                  <w:t xml:space="preserve">add to 80 where 100 is expected</w:t>
                </w:r>
                <w:r>
                  <w:rPr/>
                  <w:t xml:space="preserve">, so every score in that domain has been computed against a total that is short by a fifth.</w:t>
                </w:r>
              </w:p>
              <w:p>
                <w:pPr>
                  <w:spacing w:after="120" w:line="260" w:lineRule="auto"/>
                  <w:ind w:left="360" w:hanging="360"/>
                  <w:widowControl/>
                </w:pPr>
                <w:r>
                  <w:rPr/>
                  <w:t xml:space="preserve">2. Of the nine categories the Secretariat itself named, </w:t>
                </w:r>
                <w:r>
                  <w:rPr>
                    <w:b/>
                  </w:rPr>
                  <w:t xml:space="preserve">Accessibility and Official Languages are asked about in none of the 176 questions</w:t>
                </w:r>
                <w:r>
                  <w:rPr/>
                  <w:t xml:space="preserve">. A sweep of the full set found official languages in two questions and accessibility in three, each time in an unrelated sense.</w:t>
                </w:r>
              </w:p>
              <w:p>
                <w:pPr>
                  <w:spacing w:after="120" w:line="260" w:lineRule="auto"/>
                  <w:widowControl/>
                </w:pPr>
                <w:r>
                  <w:rPr/>
                  <w:t xml:space="preserve">Both defects had been carried for years inside a format that gives nobody a way to look.</w:t>
                </w:r>
              </w:p>
              <w:p>
                <w:pPr>
                  <w:spacing w:after="120" w:line="260" w:lineRule="auto"/>
                  <w:widowControl/>
                </w:pPr>
                <w:r>
                  <w:rPr>
                    <w:b/>
                  </w:rPr>
                  <w:t xml:space="preserve">What is still to be measured.</w:t>
                </w:r>
                <w:r>
                  <w:rPr/>
                  <w:t xml:space="preserve"> Five figures are held by the programme and are needed to size the problem in full:</w:t>
                </w:r>
              </w:p>
              <w:p>
                <w:pPr>
                  <w:spacing w:after="120" w:line="260" w:lineRule="auto"/>
                  <w:ind w:left="360" w:hanging="360"/>
                  <w:widowControl/>
                </w:pPr>
                <w:r>
                  <w:rPr/>
                  <w:t xml:space="preserve">1. Assessments completed per year. </w:t>
                </w:r>
                <w:r>
                  <w:rPr>
                    <w:b/>
                    <w:highlight w:val="yellow"/>
                  </w:rPr>
                  <w:t xml:space="preserve">[TO CONFIRM, Dan]</w:t>
                </w:r>
              </w:p>
              <w:p>
                <w:pPr>
                  <w:spacing w:after="120" w:line="260" w:lineRule="auto"/>
                  <w:ind w:left="360" w:hanging="360"/>
                  <w:widowControl/>
                </w:pPr>
                <w:r>
                  <w:rPr/>
                  <w:t xml:space="preserve">2. Elapsed time from submission to endorsement. </w:t>
                </w:r>
                <w:r>
                  <w:rPr>
                    <w:b/>
                    <w:highlight w:val="yellow"/>
                  </w:rPr>
                  <w:t xml:space="preserve">[TO CONFIRM, Dan]</w:t>
                </w:r>
              </w:p>
              <w:p>
                <w:pPr>
                  <w:spacing w:after="120" w:line="260" w:lineRule="auto"/>
                  <w:ind w:left="360" w:hanging="360"/>
                  <w:widowControl/>
                </w:pPr>
                <w:r>
                  <w:rPr/>
                  <w:t xml:space="preserve">3. Assessor hours per assessment. </w:t>
                </w:r>
                <w:r>
                  <w:rPr>
                    <w:b/>
                    <w:highlight w:val="yellow"/>
                  </w:rPr>
                  <w:t xml:space="preserve">[TO CONFIRM, Dan]</w:t>
                </w:r>
              </w:p>
              <w:p>
                <w:pPr>
                  <w:spacing w:after="120" w:line="260" w:lineRule="auto"/>
                  <w:ind w:left="360" w:hanging="360"/>
                  <w:widowControl/>
                </w:pPr>
                <w:r>
                  <w:rPr/>
                  <w:t xml:space="preserve">4. The share of those hours spent on answers that turn out to be sound. </w:t>
                </w:r>
                <w:r>
                  <w:rPr>
                    <w:b/>
                    <w:highlight w:val="yellow"/>
                  </w:rPr>
                  <w:t xml:space="preserve">[TO CONFIRM, Dan]</w:t>
                </w:r>
              </w:p>
              <w:p>
                <w:pPr>
                  <w:spacing w:after="0" w:line="260" w:lineRule="auto"/>
                  <w:ind w:left="360" w:hanging="360"/>
                  <w:widowControl/>
                </w:pPr>
                <w:r>
                  <w:rPr/>
                  <w:t xml:space="preserve">5. Departments overdue for an assessment. </w:t>
                </w:r>
                <w:r>
                  <w:rPr>
                    <w:b/>
                    <w:highlight w:val="yellow"/>
                  </w:rPr>
                  <w:t xml:space="preserve">[TO CONFIRM, Dan]</w:t>
                </w:r>
              </w:p>
            </w:tc>
          </w:sdtContent>
        </w:sdt>
      </w:tr>
    </w:tbl>
    <w:p w14:paraId="4959F5A3" w14:textId="77777777" w:rsidR="00A07F6E" w:rsidRPr="00B10F01" w:rsidRDefault="00A07F6E" w:rsidP="005D61FF"/>
    <w:tbl>
      <w:tblPr>
        <w:tblStyle w:val="TableGrid"/>
        <w:tblW w:w="5000" w:type="pct"/>
        <w:tblLook w:val="04A0" w:firstRow="1" w:lastRow="0" w:firstColumn="1" w:lastColumn="0" w:noHBand="0" w:noVBand="1"/>
        <w:tblCaption w:val="Root cause"/>
        <w:tblDescription w:val="Identifying the root cause is important to ensure that any future action taken to resolve the problem will consider the causes of the problem and in the future not be subject to the same circumstances."/>
      </w:tblPr>
      <w:tblGrid>
        <w:gridCol w:w="12950"/>
      </w:tblGrid>
      <w:tr w:rsidR="00427E01" w:rsidRPr="00B10F01" w14:paraId="4AFCA5E6" w14:textId="77777777" w:rsidTr="00E8215B">
        <w:trPr>
          <w:cantSplit/>
          <w:tblHeader/>
        </w:trPr>
        <w:tc>
          <w:tcPr>
            <w:tcW w:w="5000" w:type="pct"/>
            <w:shd w:val="clear" w:color="auto" w:fill="2E74B5" w:themeFill="accent1" w:themeFillShade="BF"/>
          </w:tcPr>
          <w:p w14:paraId="1B313CF8" w14:textId="6714D3D2" w:rsidR="00427E01" w:rsidRPr="00B10F01" w:rsidRDefault="00B10F01" w:rsidP="00D01178">
            <w:pPr>
              <w:pStyle w:val="Heading2"/>
            </w:pPr>
            <w:r w:rsidRPr="00B10F01">
              <w:lastRenderedPageBreak/>
              <w:t xml:space="preserve">Root </w:t>
            </w:r>
            <w:r>
              <w:t>c</w:t>
            </w:r>
            <w:r w:rsidRPr="00B10F01">
              <w:t>ause</w:t>
            </w:r>
          </w:p>
        </w:tc>
      </w:tr>
      <w:tr w:rsidR="00427E01" w:rsidRPr="00B10F01" w14:paraId="046F0796" w14:textId="77777777" w:rsidTr="00682A04">
        <w:trPr>
          <w:cantSplit/>
          <w:trHeight w:val="3231"/>
        </w:trPr>
        <w:sdt>
          <w:sdtPr>
            <w:id w:val="-1589843232"/>
          </w:sdtPr>
          <w:sdtContent>
            <w:tc>
              <w:tcPr>
                <w:tcW w:w="5000" w:type="pct"/>
              </w:tcPr>
              <w:p>
                <w:pPr>
                  <w:spacing w:after="120" w:line="260" w:lineRule="auto"/>
                  <w:widowControl/>
                </w:pPr>
                <w:r>
                  <w:rPr/>
                  <w:t xml:space="preserve">Three causes, and each one survives the removal of the other two.</w:t>
                </w:r>
              </w:p>
              <w:p>
                <w:pPr>
                  <w:spacing w:after="120" w:line="260" w:lineRule="auto"/>
                  <w:ind w:left="360" w:hanging="360"/>
                  <w:widowControl/>
                </w:pPr>
                <w:r>
                  <w:rPr/>
                  <w:t xml:space="preserve">1. </w:t>
                </w:r>
                <w:r>
                  <w:rPr>
                    <w:b/>
                  </w:rPr>
                  <w:t xml:space="preserve">The instrument is a document.</w:t>
                </w:r>
                <w:r>
                  <w:rPr/>
                  <w:t xml:space="preserve"> A PowerPoint file records an answer as a sentence on a slide. Nothing in it can be summed, weighted, compared or versioned, so the assessment produces a verdict and never produces data.</w:t>
                </w:r>
              </w:p>
              <w:p>
                <w:pPr>
                  <w:spacing w:after="120" w:line="260" w:lineRule="auto"/>
                  <w:ind w:left="360" w:hanging="360"/>
                  <w:widowControl/>
                </w:pPr>
                <w:r>
                  <w:rPr/>
                  <w:t xml:space="preserve">2. </w:t>
                </w:r>
                <w:r>
                  <w:rPr>
                    <w:b/>
                  </w:rPr>
                  <w:t xml:space="preserve">Categorisation is fixed to the four architecture domains.</w:t>
                </w:r>
                <w:r>
                  <w:rPr/>
                  <w:t xml:space="preserve"> The domains come from TOGAF, and a question belongs to exactly one. A concern that cuts across them has nowhere to appear. Security questions divide across all four domains, so a department weak on security shows four scores that each look acceptable. The same structure is why accessibility and official languages were never asked about.</w:t>
                </w:r>
              </w:p>
              <w:p>
                <w:pPr>
                  <w:spacing w:after="0" w:line="260" w:lineRule="auto"/>
                  <w:ind w:left="360" w:hanging="360"/>
                  <w:widowControl/>
                </w:pPr>
                <w:r>
                  <w:rPr/>
                  <w:t xml:space="preserve">3. </w:t>
                </w:r>
                <w:r>
                  <w:rPr>
                    <w:b/>
                  </w:rPr>
                  <w:t xml:space="preserve">There is no shared store.</w:t>
                </w:r>
                <w:r>
                  <w:rPr/>
                  <w:t xml:space="preserve"> Each assessment is a file that travels by attachment. A submitter and an assessor work from different copies, and the programme holds no portfolio view.</w:t>
                </w:r>
              </w:p>
            </w:tc>
          </w:sdtContent>
        </w:sdt>
      </w:tr>
    </w:tbl>
    <w:p w14:paraId="3282CB67" w14:textId="77777777" w:rsidR="008B5F99" w:rsidRPr="00B10F01" w:rsidRDefault="008B5F99" w:rsidP="005D61FF"/>
    <w:tbl>
      <w:tblPr>
        <w:tblStyle w:val="TableGrid"/>
        <w:tblW w:w="5000" w:type="pct"/>
        <w:tblLook w:val="04A0" w:firstRow="1" w:lastRow="0" w:firstColumn="1" w:lastColumn="0" w:noHBand="0" w:noVBand="1"/>
        <w:tblCaption w:val="Desired business outcome"/>
        <w:tblDescription w:val="A business outcome is the result of the outputs and/or capabilities being delivered by a project or programme and being used in day-to-day operations.&#10;Example: Department XYZ is using a complete case management capability to manage interactions with all five of its clients segments, while delivering services on time and accurately in 95% of interactions, as well as exceeding the client satisfaction service standards.&#10;"/>
      </w:tblPr>
      <w:tblGrid>
        <w:gridCol w:w="12950"/>
      </w:tblGrid>
      <w:tr w:rsidR="00352606" w:rsidRPr="00B10F01" w14:paraId="51B8A0B2" w14:textId="77777777" w:rsidTr="00E8215B">
        <w:trPr>
          <w:cantSplit/>
          <w:tblHeader/>
        </w:trPr>
        <w:tc>
          <w:tcPr>
            <w:tcW w:w="5000" w:type="pct"/>
            <w:shd w:val="clear" w:color="auto" w:fill="2E74B5" w:themeFill="accent1" w:themeFillShade="BF"/>
          </w:tcPr>
          <w:p w14:paraId="5EC1F3F3" w14:textId="4BC88987" w:rsidR="00352606" w:rsidRPr="00B10F01" w:rsidRDefault="00B10F01" w:rsidP="00682A04">
            <w:pPr>
              <w:pStyle w:val="Heading2"/>
              <w:keepNext/>
            </w:pPr>
            <w:r w:rsidRPr="00B10F01">
              <w:t xml:space="preserve">Desired </w:t>
            </w:r>
            <w:r>
              <w:t>b</w:t>
            </w:r>
            <w:r w:rsidRPr="00B10F01">
              <w:t xml:space="preserve">usiness </w:t>
            </w:r>
            <w:r>
              <w:t>o</w:t>
            </w:r>
            <w:r w:rsidRPr="00B10F01">
              <w:t>utcome</w:t>
            </w:r>
          </w:p>
        </w:tc>
      </w:tr>
      <w:tr w:rsidR="00352606" w:rsidRPr="00B10F01" w14:paraId="32F5F610" w14:textId="77777777" w:rsidTr="00682A04">
        <w:trPr>
          <w:cantSplit/>
          <w:trHeight w:val="3231"/>
        </w:trPr>
        <w:sdt>
          <w:sdtPr>
            <w:id w:val="-594555693"/>
          </w:sdtPr>
          <w:sdtContent>
            <w:tc>
              <w:tcPr>
                <w:tcW w:w="5000" w:type="pct"/>
              </w:tcPr>
              <w:p>
                <w:pPr>
                  <w:spacing w:after="120" w:line="260" w:lineRule="auto"/>
                  <w:widowControl/>
                </w:pPr>
                <w:r>
                  <w:rPr/>
                  <w:t xml:space="preserve">The Secretariat runs the enterprise architecture assessment as a data collection, and four things become true of it.</w:t>
                </w:r>
              </w:p>
              <w:p>
                <w:pPr>
                  <w:spacing w:after="120" w:line="260" w:lineRule="auto"/>
                  <w:widowControl/>
                </w:pPr>
                <w:r>
                  <w:rPr>
                    <w:b/>
                  </w:rPr>
                  <w:t xml:space="preserve">A department’s answers arrive as data.</w:t>
                </w:r>
                <w:r>
                  <w:rPr/>
                  <w:t xml:space="preserve"> They are recorded against a named version of the question set, so an assessment can be re-scored and compared later.</w:t>
                </w:r>
              </w:p>
              <w:p>
                <w:pPr>
                  <w:spacing w:after="120" w:line="260" w:lineRule="auto"/>
                  <w:widowControl/>
                </w:pPr>
                <w:r>
                  <w:rPr>
                    <w:b/>
                  </w:rPr>
                  <w:t xml:space="preserve">An assessor audits the exceptions.</w:t>
                </w:r>
                <w:r>
                  <w:rPr/>
                  <w:t xml:space="preserve"> The reading effort falls from 176 questions to </w:t>
                </w:r>
                <w:r>
                  <w:rPr>
                    <w:b/>
                    <w:highlight w:val="yellow"/>
                  </w:rPr>
                  <w:t xml:space="preserve">[TARGET TO CONFIRM, Dan: the number of questions an assessor should expect to read]</w:t>
                </w:r>
                <w:r>
                  <w:rPr/>
                  <w:t xml:space="preserve">, and an assessment completes within </w:t>
                </w:r>
                <w:r>
                  <w:rPr>
                    <w:b/>
                    <w:highlight w:val="yellow"/>
                  </w:rPr>
                  <w:t xml:space="preserve">[TARGET TO CONFIRM, Dan: elapsed days from submission to endorsement]</w:t>
                </w:r>
                <w:r>
                  <w:rPr/>
                  <w:t xml:space="preserve">.</w:t>
                </w:r>
              </w:p>
              <w:p>
                <w:pPr>
                  <w:spacing w:after="120" w:line="260" w:lineRule="auto"/>
                  <w:widowControl/>
                </w:pPr>
                <w:r>
                  <w:rPr>
                    <w:b/>
                  </w:rPr>
                  <w:t xml:space="preserve">GC EARB opens its review on a ranked list</w:t>
                </w:r>
                <w:r>
                  <w:rPr/>
                  <w:t xml:space="preserve"> computed from every submission the programme holds.</w:t>
                </w:r>
              </w:p>
              <w:p>
                <w:pPr>
                  <w:spacing w:after="0" w:line="260" w:lineRule="auto"/>
                  <w:widowControl/>
                </w:pPr>
                <w:r>
                  <w:rPr>
                    <w:b/>
                  </w:rPr>
                  <w:t xml:space="preserve">After twelve months the Secretariat can answer three questions it cannot answer today:</w:t>
                </w:r>
                <w:r>
                  <w:rPr/>
                  <w:t xml:space="preserve"> the average score per question, the average by department, and the strongest and weakest evidence cited against each question.</w:t>
                </w:r>
              </w:p>
            </w:tc>
          </w:sdtContent>
        </w:sdt>
      </w:tr>
    </w:tbl>
    <w:p w14:paraId="20ED83E1" w14:textId="77777777" w:rsidR="00352606" w:rsidRPr="00B10F01" w:rsidRDefault="00352606" w:rsidP="005D61FF"/>
    <w:tbl>
      <w:tblPr>
        <w:tblStyle w:val="TableGrid"/>
        <w:tblW w:w="5000" w:type="pct"/>
        <w:tblLook w:val="04A0" w:firstRow="1" w:lastRow="0" w:firstColumn="1" w:lastColumn="0" w:noHBand="0" w:noVBand="1"/>
        <w:tblCaption w:val="Future state"/>
        <w:tblDescription w:val="Describe what the department(s) envision as the future state in terms of people, process, information, and technology."/>
      </w:tblPr>
      <w:tblGrid>
        <w:gridCol w:w="12950"/>
      </w:tblGrid>
      <w:tr w:rsidR="00427E01" w:rsidRPr="00B10F01" w14:paraId="51C4559B" w14:textId="77777777" w:rsidTr="00E8215B">
        <w:trPr>
          <w:cantSplit/>
          <w:tblHeader/>
        </w:trPr>
        <w:tc>
          <w:tcPr>
            <w:tcW w:w="5000" w:type="pct"/>
            <w:shd w:val="clear" w:color="auto" w:fill="2E74B5" w:themeFill="accent1" w:themeFillShade="BF"/>
          </w:tcPr>
          <w:p w14:paraId="52E90DD4" w14:textId="6750E9FD" w:rsidR="00427E01" w:rsidRPr="00B10F01" w:rsidRDefault="00B10F01" w:rsidP="00D01178">
            <w:pPr>
              <w:pStyle w:val="Heading2"/>
              <w:keepNext/>
            </w:pPr>
            <w:r w:rsidRPr="00B10F01">
              <w:t xml:space="preserve">Future </w:t>
            </w:r>
            <w:r>
              <w:t>s</w:t>
            </w:r>
            <w:r w:rsidRPr="00B10F01">
              <w:t>tate</w:t>
            </w:r>
          </w:p>
        </w:tc>
      </w:tr>
      <w:tr w:rsidR="00427E01" w:rsidRPr="00B10F01" w14:paraId="6DEDEFE8" w14:textId="77777777" w:rsidTr="00682A04">
        <w:trPr>
          <w:cantSplit/>
          <w:trHeight w:val="2891"/>
        </w:trPr>
        <w:sdt>
          <w:sdtPr>
            <w:id w:val="871342229"/>
          </w:sdtPr>
          <w:sdtContent>
            <w:tc>
              <w:tcPr>
                <w:tcW w:w="5000" w:type="pct"/>
              </w:tcPr>
              <w:p>
                <w:pPr>
                  <w:spacing w:after="120" w:line="260" w:lineRule="auto"/>
                  <w:widowControl/>
                </w:pPr>
                <w:r>
                  <w:rPr>
                    <w:b/>
                  </w:rPr>
                  <w:t xml:space="preserve">People.</w:t>
                </w:r>
                <w:r>
                  <w:rPr/>
                  <w:t xml:space="preserve"> A department answers where the knowledge already is, in the team that runs the service, over as many sittings as it takes. An assessor audits the exceptions and justifies every score they change. The board triages a ranked list. The programme holds an admin view over the whole portfolio.</w:t>
                </w:r>
              </w:p>
              <w:p>
                <w:pPr>
                  <w:spacing w:after="120" w:line="260" w:lineRule="auto"/>
                  <w:widowControl/>
                </w:pPr>
                <w:r>
                  <w:rPr>
                    <w:b/>
                  </w:rPr>
                  <w:t xml:space="preserve">Process.</w:t>
                </w:r>
                <w:r>
                  <w:rPr/>
                  <w:t xml:space="preserve"> The instrument is issued and answered in the same place. A score an assessor changes carries a reason and appends to a record that is never overwritten, so two assessors who disagree both leave an account. An assessment names the version of the question set it was answered against, so a revised question set is a new version and never a silent edit.</w:t>
                </w:r>
              </w:p>
              <w:p>
                <w:pPr>
                  <w:spacing w:after="120" w:line="260" w:lineRule="auto"/>
                  <w:widowControl/>
                </w:pPr>
                <w:r>
                  <w:rPr>
                    <w:b/>
                  </w:rPr>
                  <w:t xml:space="preserve">Information.</w:t>
                </w:r>
                <w:r>
                  <w:rPr/>
                  <w:t xml:space="preserve"> One structured record per assessment, plus one row per assessment for trend. Every question carries its domain and any number of named categories, so the same answers can be re-cut across all nine categories the Secretariat named, without adding a fifth architecture domain. Evidence is a link to the artefact where it already lives.</w:t>
                </w:r>
              </w:p>
              <w:p>
                <w:pPr>
                  <w:spacing w:after="0" w:line="260" w:lineRule="auto"/>
                  <w:widowControl/>
                </w:pPr>
                <w:r>
                  <w:rPr>
                    <w:b/>
                  </w:rPr>
                  <w:t xml:space="preserve">Technology.</w:t>
                </w:r>
                <w:r>
                  <w:rPr/>
                  <w:t xml:space="preserve"> Unclassified content only, stated as a rule and enforced in the instrument. A page and a single write endpoint. Nothing is installed on a departmental laptop, because departmental laptops cannot install anything. </w:t>
                </w:r>
                <w:r>
                  <w:rPr>
                    <w:b/>
                    <w:highlight w:val="yellow"/>
                  </w:rPr>
                  <w:t xml:space="preserve">[TO CONFIRM, Dan and TBS: where the production store lives, and under whose account.]</w:t>
                </w:r>
              </w:p>
            </w:tc>
          </w:sdtContent>
        </w:sdt>
      </w:tr>
    </w:tbl>
    <w:p w14:paraId="5C1980B4" w14:textId="77777777" w:rsidR="00427E01" w:rsidRPr="00B10F01" w:rsidRDefault="00427E01" w:rsidP="005D61FF"/>
    <w:tbl>
      <w:tblPr>
        <w:tblStyle w:val="TableGrid"/>
        <w:tblW w:w="5000" w:type="pct"/>
        <w:tblLook w:val="04A0" w:firstRow="1" w:lastRow="0" w:firstColumn="1" w:lastColumn="0" w:noHBand="0" w:noVBand="1"/>
        <w:tblCaption w:val="Next steps"/>
        <w:tblDescription w:val="What are the planned next steps?&#10;Are there any known time constraints moving forward?"/>
      </w:tblPr>
      <w:tblGrid>
        <w:gridCol w:w="12950"/>
      </w:tblGrid>
      <w:tr w:rsidR="00427E01" w:rsidRPr="00B10F01" w14:paraId="08AC2A59" w14:textId="77777777" w:rsidTr="00E8215B">
        <w:trPr>
          <w:cantSplit/>
          <w:tblHeader/>
        </w:trPr>
        <w:tc>
          <w:tcPr>
            <w:tcW w:w="5000" w:type="pct"/>
            <w:shd w:val="clear" w:color="auto" w:fill="2E74B5" w:themeFill="accent1" w:themeFillShade="BF"/>
          </w:tcPr>
          <w:p w14:paraId="596B691C" w14:textId="77777777" w:rsidR="00427E01" w:rsidRPr="00B10F01" w:rsidRDefault="00B10F01" w:rsidP="00D01178">
            <w:pPr>
              <w:pStyle w:val="Heading2"/>
            </w:pPr>
            <w:r w:rsidRPr="00B10F01">
              <w:t>Next steps</w:t>
            </w:r>
          </w:p>
        </w:tc>
      </w:tr>
      <w:tr w:rsidR="00427E01" w:rsidRPr="00B10F01" w14:paraId="2107DBC9" w14:textId="77777777" w:rsidTr="00682A04">
        <w:trPr>
          <w:cantSplit/>
          <w:trHeight w:val="3231"/>
        </w:trPr>
        <w:tc>
          <w:tcPr>
            <w:tcW w:w="5000" w:type="pct"/>
          </w:tcPr>
          <w:p>
            <w:pPr>
              <w:spacing w:after="120" w:line="260" w:lineRule="auto"/>
              <w:widowControl/>
            </w:pPr>
            <w:r>
              <w:rPr>
                <w:b/>
              </w:rPr>
              <w:t xml:space="preserve">Decisions needed before anything is built for production.</w:t>
            </w:r>
          </w:p>
          <w:p>
            <w:pPr>
              <w:spacing w:after="120" w:line="260" w:lineRule="auto"/>
              <w:ind w:left="360" w:hanging="360"/>
              <w:widowControl/>
            </w:pPr>
            <w:r>
              <w:rPr/>
              <w:t xml:space="preserve">1. Which initiatives are required to submit an assessment. Open since the start of the work. </w:t>
            </w:r>
            <w:r>
              <w:rPr>
                <w:b/>
                <w:highlight w:val="yellow"/>
              </w:rPr>
              <w:t xml:space="preserve">[TO CONFIRM, Dan]</w:t>
            </w:r>
          </w:p>
          <w:p>
            <w:pPr>
              <w:spacing w:after="120" w:line="260" w:lineRule="auto"/>
              <w:ind w:left="360" w:hanging="360"/>
              <w:widowControl/>
            </w:pPr>
            <w:r>
              <w:rPr/>
              <w:t xml:space="preserve">2. Whether this concept case is submitted as a requirement under Appendix B or submitted voluntarily. The Appendix B trigger is what the department is willing to invest, and that figure has not been set. </w:t>
            </w:r>
            <w:r>
              <w:rPr>
                <w:b/>
                <w:highlight w:val="yellow"/>
              </w:rPr>
              <w:t xml:space="preserve">[TO CONFIRM, Dan]</w:t>
            </w:r>
          </w:p>
          <w:p>
            <w:pPr>
              <w:spacing w:after="120" w:line="260" w:lineRule="auto"/>
              <w:ind w:left="360" w:hanging="360"/>
              <w:widowControl/>
            </w:pPr>
            <w:r>
              <w:rPr/>
              <w:t xml:space="preserve">3. The Secretariat’s Organizational Project Management Capacity Class, which fixes the threshold at $2.5M, $5M, $10M or $25M. </w:t>
            </w:r>
            <w:r>
              <w:rPr>
                <w:b/>
                <w:highlight w:val="yellow"/>
              </w:rPr>
              <w:t xml:space="preserve">[TO CONFIRM, Dan]</w:t>
            </w:r>
          </w:p>
          <w:p>
            <w:pPr>
              <w:spacing w:after="120" w:line="260" w:lineRule="auto"/>
              <w:widowControl/>
            </w:pPr>
            <w:r>
              <w:rPr>
                <w:b/>
              </w:rPr>
              <w:t xml:space="preserve">Work that a funded initiative would carry.</w:t>
            </w:r>
          </w:p>
          <w:p>
            <w:pPr>
              <w:spacing w:after="120" w:line="260" w:lineRule="auto"/>
              <w:ind w:left="360" w:hanging="360"/>
              <w:widowControl/>
            </w:pPr>
            <w:r>
              <w:rPr/>
              <w:t xml:space="preserve">4. Release the 700 completed assessments as data, which supplies the answer picklists and the baseline figures missing from section 2.</w:t>
            </w:r>
          </w:p>
          <w:p>
            <w:pPr>
              <w:spacing w:after="120" w:line="260" w:lineRule="auto"/>
              <w:ind w:left="360" w:hanging="360"/>
              <w:widowControl/>
            </w:pPr>
            <w:r>
              <w:rPr/>
              <w:t xml:space="preserve">5. Stand up a production store owned by the department. The prototype store is held in a personal account and is scheduled for deletion at the end of the current work term.</w:t>
            </w:r>
          </w:p>
          <w:p>
            <w:pPr>
              <w:spacing w:after="120" w:line="260" w:lineRule="auto"/>
              <w:ind w:left="360" w:hanging="360"/>
              <w:widowControl/>
            </w:pPr>
            <w:r>
              <w:rPr/>
              <w:t xml:space="preserve">6. Move the code into the canada-ca organisation.</w:t>
            </w:r>
          </w:p>
          <w:p>
            <w:pPr>
              <w:spacing w:after="120" w:line="260" w:lineRule="auto"/>
              <w:ind w:left="360" w:hanging="360"/>
              <w:widowControl/>
            </w:pPr>
            <w:r>
              <w:rPr/>
              <w:t xml:space="preserve">7. Translate the question set, its descriptions and the eleven-rung scale into French.</w:t>
            </w:r>
          </w:p>
          <w:p>
            <w:pPr>
              <w:spacing w:after="120" w:line="260" w:lineRule="auto"/>
              <w:ind w:left="360" w:hanging="360"/>
              <w:widowControl/>
            </w:pPr>
            <w:r>
              <w:rPr/>
              <w:t xml:space="preserve">8. Settle the assessment routing thresholds, which are marked provisional everywhere they appear in the prototype today.</w:t>
            </w:r>
          </w:p>
          <w:p>
            <w:pPr>
              <w:spacing w:after="120" w:line="260" w:lineRule="auto"/>
              <w:ind w:left="360" w:hanging="360"/>
              <w:widowControl/>
            </w:pPr>
            <w:r>
              <w:rPr/>
              <w:t xml:space="preserve">9. Confirm the category assignment for every question, replacing the provisional grouping derived from question wording.</w:t>
            </w:r>
          </w:p>
          <w:p>
            <w:pPr>
              <w:spacing w:after="0" w:line="260" w:lineRule="auto"/>
              <w:widowControl/>
            </w:pPr>
            <w:r>
              <w:rPr>
                <w:b/>
              </w:rPr>
              <w:t xml:space="preserve">Sequence after this document.</w:t>
            </w:r>
            <w:r>
              <w:rPr/>
              <w:t xml:space="preserve"> Departmental investment oversight body review. Then approval and submission by the business owner, through the program sector analyst and the OCIO portfolios mailbox. Then review by the Chief Information Officer of Canada. A submission to GC EARB, if one is required, follows that review.</w:t>
            </w:r>
          </w:p>
        </w:tc>
      </w:tr>
    </w:tbl>
    <w:p w14:paraId="45878383" w14:textId="77777777" w:rsidR="00427E01" w:rsidRPr="00B10F01" w:rsidRDefault="00427E01" w:rsidP="005D61FF"/>
    <w:sectPr w:rsidR="00427E01" w:rsidRPr="00B10F01" w:rsidSect="00227C68">
      <w:headerReference w:type="even" ns3:id="rId11"/>
      <w:headerReference w:type="default" ns3:id="rId12"/>
      <w:footerReference w:type="default" ns3:id="rId13"/>
      <w:headerReference w:type="first" ns3:id="rId14"/>
      <w:footerReference w:type="first" ns3:id="rId15"/>
      <w:type w:val="continuous"/>
      <w:pgSz w:w="15840" w:h="24480" w:code="3"/>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24FC35" w14:textId="77777777" w:rsidR="000044B7" w:rsidRDefault="000044B7" w:rsidP="005D61FF">
      <w:r>
        <w:separator/>
      </w:r>
    </w:p>
  </w:endnote>
  <w:endnote w:type="continuationSeparator" w:id="0">
    <w:p w14:paraId="0088BFE8" w14:textId="77777777" w:rsidR="000044B7" w:rsidRDefault="000044B7" w:rsidP="005D61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3341459"/>
      <w:docPartObj>
        <w:docPartGallery w:val="Page Numbers (Bottom of Page)"/>
        <w:docPartUnique/>
      </w:docPartObj>
    </w:sdtPr>
    <w:sdtEndPr>
      <w:rPr>
        <w:noProof/>
      </w:rPr>
    </w:sdtEndPr>
    <w:sdtContent>
      <w:p w14:paraId="7875A985" w14:textId="102A6061" w:rsidR="0027642F" w:rsidRDefault="0027642F" w:rsidP="004F5D7E">
        <w:pPr>
          <w:pStyle w:val="Footer"/>
          <w:tabs>
            <w:tab w:val="clear" w:pos="4680"/>
            <w:tab w:val="clear" w:pos="9360"/>
            <w:tab w:val="right" w:pos="12900"/>
          </w:tabs>
        </w:pPr>
        <w:r>
          <w:t xml:space="preserve">Page | </w:t>
        </w:r>
        <w:r>
          <w:fldChar w:fldCharType="begin"/>
        </w:r>
        <w:r>
          <w:instrText xml:space="preserve"> PAGE   \* MERGEFORMAT </w:instrText>
        </w:r>
        <w:r>
          <w:fldChar w:fldCharType="separate"/>
        </w:r>
        <w:r w:rsidR="003B3460">
          <w:rPr>
            <w:noProof/>
          </w:rPr>
          <w:t>2</w:t>
        </w:r>
        <w:r>
          <w:rPr>
            <w:noProof/>
          </w:rPr>
          <w:fldChar w:fldCharType="end"/>
        </w:r>
        <w:r w:rsidR="004F5D7E">
          <w:rPr>
            <w:noProof/>
          </w:rPr>
          <w:tab/>
        </w:r>
      </w:p>
    </w:sdtContent>
  </w:sdt>
  <w:p w14:paraId="2EB1F49E" w14:textId="77777777" w:rsidR="0027642F" w:rsidRDefault="002764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38675846"/>
      <w:docPartObj>
        <w:docPartGallery w:val="Page Numbers (Bottom of Page)"/>
        <w:docPartUnique/>
      </w:docPartObj>
    </w:sdtPr>
    <w:sdtEndPr>
      <w:rPr>
        <w:color w:val="7F7F7F" w:themeColor="background1" w:themeShade="7F"/>
        <w:spacing w:val="60"/>
      </w:rPr>
    </w:sdtEndPr>
    <w:sdtContent>
      <w:p w14:paraId="2DD1E094" w14:textId="6A7A5131" w:rsidR="0027642F" w:rsidRDefault="0027642F" w:rsidP="00227C68">
        <w:pPr>
          <w:pStyle w:val="Footer"/>
          <w:pBdr>
            <w:top w:val="single" w:sz="4" w:space="1" w:color="D9D9D9" w:themeColor="background1" w:themeShade="D9"/>
          </w:pBdr>
          <w:tabs>
            <w:tab w:val="clear" w:pos="4680"/>
            <w:tab w:val="clear" w:pos="9360"/>
            <w:tab w:val="right" w:pos="12900"/>
          </w:tabs>
          <w:rPr>
            <w:b/>
            <w:bCs/>
          </w:rPr>
        </w:pPr>
        <w:r>
          <w:fldChar w:fldCharType="begin"/>
        </w:r>
        <w:r>
          <w:instrText xml:space="preserve"> PAGE   \* MERGEFORMAT </w:instrText>
        </w:r>
        <w:r>
          <w:fldChar w:fldCharType="separate"/>
        </w:r>
        <w:r w:rsidR="003B3460" w:rsidRPr="003B3460">
          <w:rPr>
            <w:b/>
            <w:bCs/>
            <w:noProof/>
          </w:rPr>
          <w:t>1</w:t>
        </w:r>
        <w:r>
          <w:rPr>
            <w:b/>
            <w:bCs/>
            <w:noProof/>
          </w:rPr>
          <w:fldChar w:fldCharType="end"/>
        </w:r>
        <w:r>
          <w:rPr>
            <w:b/>
            <w:bCs/>
          </w:rPr>
          <w:t xml:space="preserve"> | </w:t>
        </w:r>
        <w:r>
          <w:rPr>
            <w:color w:val="7F7F7F" w:themeColor="background1" w:themeShade="7F"/>
            <w:spacing w:val="60"/>
          </w:rPr>
          <w:t>Page</w:t>
        </w:r>
        <w:r w:rsidR="00227C68">
          <w:rPr>
            <w:color w:val="7F7F7F" w:themeColor="background1" w:themeShade="7F"/>
            <w:spacing w:val="60"/>
          </w:rPr>
          <w:tab/>
        </w:r>
        <w:r w:rsidR="00227C68">
          <w:rPr>
            <w:noProof/>
            <w:lang w:eastAsia="en-CA"/>
          </w:rPr>
          <w:drawing>
            <wp:inline distT="0" distB="0" distL="0" distR="0" wp14:anchorId="7189AC46" wp14:editId="185E9D3E">
              <wp:extent cx="1395357" cy="333773"/>
              <wp:effectExtent l="0" t="0" r="0" b="9525"/>
              <wp:docPr id="2" name="Picture 2" descr="Federal Identity of the Canada Wordmark" title="Canad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nada Wordmark bw 300px.tif"/>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14213" cy="338283"/>
                      </a:xfrm>
                      <a:prstGeom prst="rect">
                        <a:avLst/>
                      </a:prstGeom>
                    </pic:spPr>
                  </pic:pic>
                </a:graphicData>
              </a:graphic>
            </wp:inline>
          </w:drawing>
        </w:r>
      </w:p>
    </w:sdtContent>
  </w:sdt>
  <w:p w14:paraId="56E86E07" w14:textId="77777777" w:rsidR="0027642F" w:rsidRDefault="002764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5336B6" w14:textId="77777777" w:rsidR="000044B7" w:rsidRDefault="000044B7" w:rsidP="005D61FF">
      <w:r>
        <w:separator/>
      </w:r>
    </w:p>
  </w:footnote>
  <w:footnote w:type="continuationSeparator" w:id="0">
    <w:p w14:paraId="10D75A16" w14:textId="77777777" w:rsidR="000044B7" w:rsidRDefault="000044B7" w:rsidP="005D61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DD76B0" w14:textId="5C43B89D" w:rsidR="00D30B7F" w:rsidRDefault="00D30B7F" w:rsidP="005D61FF">
    <w:pPr>
      <w:pStyle w:val="Header"/>
    </w:pPr>
    <w:bookmarkStart w:id="0" w:name="TITUS2HeaderEvenPages"/>
  </w:p>
  <w:bookmarkEnd w:id="0"/>
  <w:p w14:paraId="6FEDDAFB" w14:textId="77777777" w:rsidR="00D30B7F" w:rsidRDefault="00D30B7F" w:rsidP="005D61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02343B" w14:textId="4BBF498C" w:rsidR="00D30B7F" w:rsidRDefault="00D30B7F" w:rsidP="005D61FF">
    <w:pPr>
      <w:pStyle w:val="Header"/>
    </w:pPr>
    <w:bookmarkStart w:id="1" w:name="TITUS2HeaderPrimary"/>
  </w:p>
  <w:bookmarkEnd w:id="1"/>
  <w:p w14:paraId="1017F6B2" w14:textId="77777777" w:rsidR="00D30B7F" w:rsidRDefault="00D30B7F" w:rsidP="005D61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F817E3" w14:textId="67D6E8F6" w:rsidR="00D30B7F" w:rsidRDefault="00227C68" w:rsidP="005D61FF">
    <w:pPr>
      <w:pStyle w:val="Header"/>
    </w:pPr>
    <w:bookmarkStart w:id="2" w:name="TITUS2HeaderFirstPage"/>
    <w:r>
      <w:rPr>
        <w:noProof/>
        <w:lang w:eastAsia="en-CA"/>
      </w:rPr>
      <w:drawing>
        <wp:inline distT="0" distB="0" distL="0" distR="0" wp14:anchorId="23B46893" wp14:editId="5EC9ED4F">
          <wp:extent cx="4568246" cy="646771"/>
          <wp:effectExtent l="0" t="0" r="0" b="0"/>
          <wp:docPr id="1" name="Picture 1" descr="Federal Identity for Treasury Board of Canada Secretariat" title="Treasury Board of Canada Secretari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BS_e_Black.gif"/>
                  <pic:cNvPicPr/>
                </pic:nvPicPr>
                <pic:blipFill>
                  <a:blip r:embed="rId1">
                    <a:extLst>
                      <a:ext uri="{28A0092B-C50C-407E-A947-70E740481C1C}">
                        <a14:useLocalDpi xmlns:a14="http://schemas.microsoft.com/office/drawing/2010/main" val="0"/>
                      </a:ext>
                    </a:extLst>
                  </a:blip>
                  <a:stretch>
                    <a:fillRect/>
                  </a:stretch>
                </pic:blipFill>
                <pic:spPr>
                  <a:xfrm>
                    <a:off x="0" y="0"/>
                    <a:ext cx="4648596" cy="658147"/>
                  </a:xfrm>
                  <a:prstGeom prst="rect">
                    <a:avLst/>
                  </a:prstGeom>
                </pic:spPr>
              </pic:pic>
            </a:graphicData>
          </a:graphic>
        </wp:inline>
      </w:drawing>
    </w:r>
    <w:bookmarkEnd w:id="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0E239B"/>
    <w:multiLevelType w:val="hybridMultilevel"/>
    <w:tmpl w:val="445870CC"/>
    <w:lvl w:ilvl="0" w:tplc="CA547536">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664422E"/>
    <w:multiLevelType w:val="hybridMultilevel"/>
    <w:tmpl w:val="48369D6A"/>
    <w:lvl w:ilvl="0" w:tplc="1009000F">
      <w:start w:val="1"/>
      <w:numFmt w:val="decimal"/>
      <w:lvlText w:val="%1."/>
      <w:lvlJc w:val="left"/>
      <w:pPr>
        <w:ind w:left="360" w:hanging="360"/>
      </w:p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 w15:restartNumberingAfterBreak="0">
    <w:nsid w:val="1E320E2C"/>
    <w:multiLevelType w:val="hybridMultilevel"/>
    <w:tmpl w:val="C4AEC174"/>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 w15:restartNumberingAfterBreak="0">
    <w:nsid w:val="201B50C0"/>
    <w:multiLevelType w:val="hybridMultilevel"/>
    <w:tmpl w:val="20E66D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622455F3"/>
    <w:multiLevelType w:val="hybridMultilevel"/>
    <w:tmpl w:val="3D624CD2"/>
    <w:lvl w:ilvl="0" w:tplc="DA5C92F8">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63EC2B04"/>
    <w:multiLevelType w:val="hybridMultilevel"/>
    <w:tmpl w:val="D68E8A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569003087">
    <w:abstractNumId w:val="1"/>
  </w:num>
  <w:num w:numId="2" w16cid:durableId="1865942521">
    <w:abstractNumId w:val="2"/>
  </w:num>
  <w:num w:numId="3" w16cid:durableId="33771268">
    <w:abstractNumId w:val="5"/>
  </w:num>
  <w:num w:numId="4" w16cid:durableId="1979408263">
    <w:abstractNumId w:val="4"/>
  </w:num>
  <w:num w:numId="5" w16cid:durableId="579217064">
    <w:abstractNumId w:val="0"/>
  </w:num>
  <w:num w:numId="6" w16cid:durableId="6994779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E01"/>
    <w:rsid w:val="000044B7"/>
    <w:rsid w:val="00056FA9"/>
    <w:rsid w:val="000830A6"/>
    <w:rsid w:val="000A421F"/>
    <w:rsid w:val="000A7C4E"/>
    <w:rsid w:val="000C0099"/>
    <w:rsid w:val="000E66CA"/>
    <w:rsid w:val="000F0913"/>
    <w:rsid w:val="000F6CE5"/>
    <w:rsid w:val="001113E5"/>
    <w:rsid w:val="001147EE"/>
    <w:rsid w:val="00120FFF"/>
    <w:rsid w:val="001657B1"/>
    <w:rsid w:val="001741D0"/>
    <w:rsid w:val="00184E79"/>
    <w:rsid w:val="001A367E"/>
    <w:rsid w:val="001A37A8"/>
    <w:rsid w:val="001B1E71"/>
    <w:rsid w:val="001C56B9"/>
    <w:rsid w:val="001E6CEC"/>
    <w:rsid w:val="001F09C9"/>
    <w:rsid w:val="001F6EED"/>
    <w:rsid w:val="00201504"/>
    <w:rsid w:val="00201F76"/>
    <w:rsid w:val="00217BD5"/>
    <w:rsid w:val="00223BC1"/>
    <w:rsid w:val="00227C68"/>
    <w:rsid w:val="00251956"/>
    <w:rsid w:val="00254E64"/>
    <w:rsid w:val="00256873"/>
    <w:rsid w:val="002738EE"/>
    <w:rsid w:val="0027642F"/>
    <w:rsid w:val="00276A92"/>
    <w:rsid w:val="002A6113"/>
    <w:rsid w:val="002E3783"/>
    <w:rsid w:val="00311C4F"/>
    <w:rsid w:val="003302CD"/>
    <w:rsid w:val="00336AD3"/>
    <w:rsid w:val="00352606"/>
    <w:rsid w:val="00371AF0"/>
    <w:rsid w:val="00395065"/>
    <w:rsid w:val="003B3460"/>
    <w:rsid w:val="003C3660"/>
    <w:rsid w:val="003D0E54"/>
    <w:rsid w:val="003D4003"/>
    <w:rsid w:val="003F1CFE"/>
    <w:rsid w:val="00410637"/>
    <w:rsid w:val="004135B9"/>
    <w:rsid w:val="004204CA"/>
    <w:rsid w:val="00427E01"/>
    <w:rsid w:val="00461B83"/>
    <w:rsid w:val="004B5C75"/>
    <w:rsid w:val="004D10B3"/>
    <w:rsid w:val="004F5D7E"/>
    <w:rsid w:val="004F68C1"/>
    <w:rsid w:val="00522428"/>
    <w:rsid w:val="00541259"/>
    <w:rsid w:val="00545826"/>
    <w:rsid w:val="00597508"/>
    <w:rsid w:val="005B57E0"/>
    <w:rsid w:val="005D61FF"/>
    <w:rsid w:val="005E581B"/>
    <w:rsid w:val="006039F9"/>
    <w:rsid w:val="00620F77"/>
    <w:rsid w:val="00660404"/>
    <w:rsid w:val="00682A04"/>
    <w:rsid w:val="00684B9F"/>
    <w:rsid w:val="006B1732"/>
    <w:rsid w:val="006B4344"/>
    <w:rsid w:val="006B53D0"/>
    <w:rsid w:val="006B67EE"/>
    <w:rsid w:val="00720CD0"/>
    <w:rsid w:val="00753E9A"/>
    <w:rsid w:val="00780989"/>
    <w:rsid w:val="007A0683"/>
    <w:rsid w:val="00816CD4"/>
    <w:rsid w:val="00820D9C"/>
    <w:rsid w:val="008246F4"/>
    <w:rsid w:val="008906EA"/>
    <w:rsid w:val="008B5744"/>
    <w:rsid w:val="008B5F99"/>
    <w:rsid w:val="008E0C90"/>
    <w:rsid w:val="008E7E2D"/>
    <w:rsid w:val="0090271E"/>
    <w:rsid w:val="00920E93"/>
    <w:rsid w:val="00934827"/>
    <w:rsid w:val="0095676F"/>
    <w:rsid w:val="00982BF3"/>
    <w:rsid w:val="00983711"/>
    <w:rsid w:val="00993848"/>
    <w:rsid w:val="009A2A49"/>
    <w:rsid w:val="009A6528"/>
    <w:rsid w:val="009B3D7C"/>
    <w:rsid w:val="009D4557"/>
    <w:rsid w:val="00A07F6E"/>
    <w:rsid w:val="00A33D47"/>
    <w:rsid w:val="00A76B13"/>
    <w:rsid w:val="00AC13B3"/>
    <w:rsid w:val="00AC5632"/>
    <w:rsid w:val="00AE11B9"/>
    <w:rsid w:val="00AE2FFB"/>
    <w:rsid w:val="00AE7CFE"/>
    <w:rsid w:val="00AF2431"/>
    <w:rsid w:val="00AF4DC6"/>
    <w:rsid w:val="00B1064E"/>
    <w:rsid w:val="00B10F01"/>
    <w:rsid w:val="00B602B6"/>
    <w:rsid w:val="00B82221"/>
    <w:rsid w:val="00B973EC"/>
    <w:rsid w:val="00BF0C44"/>
    <w:rsid w:val="00BF7921"/>
    <w:rsid w:val="00C1385F"/>
    <w:rsid w:val="00C22AA3"/>
    <w:rsid w:val="00C2473C"/>
    <w:rsid w:val="00C31A4D"/>
    <w:rsid w:val="00C35923"/>
    <w:rsid w:val="00C9364D"/>
    <w:rsid w:val="00CC3B0B"/>
    <w:rsid w:val="00CD7B07"/>
    <w:rsid w:val="00CF138B"/>
    <w:rsid w:val="00CF2896"/>
    <w:rsid w:val="00D01178"/>
    <w:rsid w:val="00D05B6B"/>
    <w:rsid w:val="00D2584F"/>
    <w:rsid w:val="00D30B7F"/>
    <w:rsid w:val="00D60B7E"/>
    <w:rsid w:val="00D925D6"/>
    <w:rsid w:val="00DA3C59"/>
    <w:rsid w:val="00DE3B0B"/>
    <w:rsid w:val="00E024AE"/>
    <w:rsid w:val="00E03269"/>
    <w:rsid w:val="00E062AA"/>
    <w:rsid w:val="00E3668A"/>
    <w:rsid w:val="00E54FDE"/>
    <w:rsid w:val="00E8215B"/>
    <w:rsid w:val="00EA749C"/>
    <w:rsid w:val="00ED2171"/>
    <w:rsid w:val="00EE57E2"/>
    <w:rsid w:val="00F0099E"/>
    <w:rsid w:val="00F53216"/>
    <w:rsid w:val="00F73533"/>
    <w:rsid w:val="00FE3C48"/>
    <w:rsid w:val="00FE4568"/>
    <w:rsid w:val="00FF64B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79436F"/>
  <w15:docId w15:val="{22065D81-0D38-4FDC-9961-F64E4CC52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1FF"/>
    <w:rPr>
      <w:rFonts w:ascii="Arial" w:hAnsi="Arial"/>
      <w:sz w:val="24"/>
      <w:szCs w:val="24"/>
    </w:rPr>
  </w:style>
  <w:style w:type="paragraph" w:styleId="Heading1">
    <w:name w:val="heading 1"/>
    <w:basedOn w:val="Normal"/>
    <w:next w:val="Normal"/>
    <w:link w:val="Heading1Char"/>
    <w:uiPriority w:val="9"/>
    <w:qFormat/>
    <w:rsid w:val="000C0099"/>
    <w:pPr>
      <w:keepNext/>
      <w:keepLines/>
      <w:spacing w:before="240" w:after="0" w:line="480" w:lineRule="auto"/>
      <w:jc w:val="center"/>
      <w:outlineLvl w:val="0"/>
    </w:pPr>
    <w:rPr>
      <w:rFonts w:eastAsia="Times New Roman" w:cs="Arial"/>
      <w:b/>
      <w:sz w:val="32"/>
      <w:szCs w:val="32"/>
    </w:rPr>
  </w:style>
  <w:style w:type="paragraph" w:styleId="Heading2">
    <w:name w:val="heading 2"/>
    <w:basedOn w:val="Normal"/>
    <w:next w:val="Normal"/>
    <w:link w:val="Heading2Char"/>
    <w:uiPriority w:val="9"/>
    <w:unhideWhenUsed/>
    <w:qFormat/>
    <w:rsid w:val="00D01178"/>
    <w:pPr>
      <w:spacing w:after="0" w:line="240" w:lineRule="auto"/>
      <w:outlineLvl w:val="1"/>
    </w:pPr>
    <w:rPr>
      <w:b/>
      <w:color w:val="FFFFFF" w:themeColor="background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27E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52606"/>
    <w:pPr>
      <w:spacing w:after="0" w:line="240" w:lineRule="auto"/>
      <w:ind w:left="720"/>
      <w:contextualSpacing/>
    </w:pPr>
    <w:rPr>
      <w:rFonts w:ascii="Times New Roman" w:eastAsia="Times New Roman" w:hAnsi="Times New Roman" w:cs="Times New Roman"/>
      <w:lang w:eastAsia="en-CA"/>
    </w:rPr>
  </w:style>
  <w:style w:type="paragraph" w:styleId="Header">
    <w:name w:val="header"/>
    <w:basedOn w:val="Normal"/>
    <w:link w:val="HeaderChar"/>
    <w:uiPriority w:val="99"/>
    <w:unhideWhenUsed/>
    <w:rsid w:val="003526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606"/>
  </w:style>
  <w:style w:type="paragraph" w:styleId="Footer">
    <w:name w:val="footer"/>
    <w:basedOn w:val="Normal"/>
    <w:link w:val="FooterChar"/>
    <w:uiPriority w:val="99"/>
    <w:unhideWhenUsed/>
    <w:rsid w:val="003526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606"/>
  </w:style>
  <w:style w:type="paragraph" w:styleId="BalloonText">
    <w:name w:val="Balloon Text"/>
    <w:basedOn w:val="Normal"/>
    <w:link w:val="BalloonTextChar"/>
    <w:uiPriority w:val="99"/>
    <w:semiHidden/>
    <w:unhideWhenUsed/>
    <w:rsid w:val="001E6C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6CEC"/>
    <w:rPr>
      <w:rFonts w:ascii="Segoe UI" w:hAnsi="Segoe UI" w:cs="Segoe UI"/>
      <w:sz w:val="18"/>
      <w:szCs w:val="18"/>
    </w:rPr>
  </w:style>
  <w:style w:type="character" w:styleId="PlaceholderText">
    <w:name w:val="Placeholder Text"/>
    <w:basedOn w:val="DefaultParagraphFont"/>
    <w:uiPriority w:val="99"/>
    <w:semiHidden/>
    <w:rsid w:val="00816CD4"/>
    <w:rPr>
      <w:color w:val="808080"/>
    </w:rPr>
  </w:style>
  <w:style w:type="character" w:styleId="Hyperlink">
    <w:name w:val="Hyperlink"/>
    <w:basedOn w:val="DefaultParagraphFont"/>
    <w:uiPriority w:val="99"/>
    <w:unhideWhenUsed/>
    <w:rsid w:val="00184E79"/>
    <w:rPr>
      <w:color w:val="0563C1" w:themeColor="hyperlink"/>
      <w:u w:val="single"/>
    </w:rPr>
  </w:style>
  <w:style w:type="character" w:styleId="CommentReference">
    <w:name w:val="annotation reference"/>
    <w:basedOn w:val="DefaultParagraphFont"/>
    <w:uiPriority w:val="99"/>
    <w:semiHidden/>
    <w:unhideWhenUsed/>
    <w:rsid w:val="00B10F01"/>
    <w:rPr>
      <w:sz w:val="16"/>
      <w:szCs w:val="16"/>
    </w:rPr>
  </w:style>
  <w:style w:type="paragraph" w:styleId="CommentText">
    <w:name w:val="annotation text"/>
    <w:basedOn w:val="Normal"/>
    <w:link w:val="CommentTextChar"/>
    <w:uiPriority w:val="99"/>
    <w:semiHidden/>
    <w:unhideWhenUsed/>
    <w:rsid w:val="00B10F01"/>
    <w:pPr>
      <w:spacing w:line="240" w:lineRule="auto"/>
    </w:pPr>
    <w:rPr>
      <w:sz w:val="20"/>
      <w:szCs w:val="20"/>
    </w:rPr>
  </w:style>
  <w:style w:type="character" w:customStyle="1" w:styleId="CommentTextChar">
    <w:name w:val="Comment Text Char"/>
    <w:basedOn w:val="DefaultParagraphFont"/>
    <w:link w:val="CommentText"/>
    <w:uiPriority w:val="99"/>
    <w:semiHidden/>
    <w:rsid w:val="00B10F01"/>
    <w:rPr>
      <w:sz w:val="20"/>
      <w:szCs w:val="20"/>
    </w:rPr>
  </w:style>
  <w:style w:type="paragraph" w:styleId="CommentSubject">
    <w:name w:val="annotation subject"/>
    <w:basedOn w:val="CommentText"/>
    <w:next w:val="CommentText"/>
    <w:link w:val="CommentSubjectChar"/>
    <w:uiPriority w:val="99"/>
    <w:semiHidden/>
    <w:unhideWhenUsed/>
    <w:rsid w:val="00B10F01"/>
    <w:rPr>
      <w:b/>
      <w:bCs/>
    </w:rPr>
  </w:style>
  <w:style w:type="character" w:customStyle="1" w:styleId="CommentSubjectChar">
    <w:name w:val="Comment Subject Char"/>
    <w:basedOn w:val="CommentTextChar"/>
    <w:link w:val="CommentSubject"/>
    <w:uiPriority w:val="99"/>
    <w:semiHidden/>
    <w:rsid w:val="00B10F01"/>
    <w:rPr>
      <w:b/>
      <w:bCs/>
      <w:sz w:val="20"/>
      <w:szCs w:val="20"/>
    </w:rPr>
  </w:style>
  <w:style w:type="character" w:customStyle="1" w:styleId="Heading1Char">
    <w:name w:val="Heading 1 Char"/>
    <w:basedOn w:val="DefaultParagraphFont"/>
    <w:link w:val="Heading1"/>
    <w:uiPriority w:val="9"/>
    <w:rsid w:val="000C0099"/>
    <w:rPr>
      <w:rFonts w:ascii="Arial" w:eastAsia="Times New Roman" w:hAnsi="Arial" w:cs="Arial"/>
      <w:b/>
      <w:sz w:val="32"/>
      <w:szCs w:val="32"/>
    </w:rPr>
  </w:style>
  <w:style w:type="character" w:customStyle="1" w:styleId="Heading2Char">
    <w:name w:val="Heading 2 Char"/>
    <w:basedOn w:val="DefaultParagraphFont"/>
    <w:link w:val="Heading2"/>
    <w:uiPriority w:val="9"/>
    <w:rsid w:val="00D01178"/>
    <w:rPr>
      <w:rFonts w:ascii="Arial" w:hAnsi="Arial"/>
      <w:b/>
      <w:color w:val="FFFFFF" w:themeColor="background1"/>
      <w:sz w:val="28"/>
      <w:szCs w:val="28"/>
    </w:rPr>
  </w:style>
  <w:style w:type="character" w:styleId="FollowedHyperlink">
    <w:name w:val="FollowedHyperlink"/>
    <w:basedOn w:val="DefaultParagraphFont"/>
    <w:uiPriority w:val="99"/>
    <w:semiHidden/>
    <w:unhideWhenUsed/>
    <w:rsid w:val="006B1732"/>
    <w:rPr>
      <w:color w:val="954F72" w:themeColor="followedHyperlink"/>
      <w:u w:val="single"/>
    </w:rPr>
  </w:style>
  <w:style w:type="character" w:styleId="UnresolvedMention">
    <w:name w:val="Unresolved Mention"/>
    <w:basedOn w:val="DefaultParagraphFont"/>
    <w:uiPriority w:val="99"/>
    <w:semiHidden/>
    <w:unhideWhenUsed/>
    <w:rsid w:val="006B17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tbs-sct.canada.ca/pol/doc-eng.aspx?id=32593&amp;section=procedure&amp;p=B"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OCIOPortfolios-PortefeuillesBDPI@tbs-sct.gc.ca" TargetMode="External"/><Relationship Id="rId4" Type="http://schemas.openxmlformats.org/officeDocument/2006/relationships/settings" Target="settings.xml"/><Relationship Id="rId9" Type="http://schemas.openxmlformats.org/officeDocument/2006/relationships/hyperlink" Target="mailto:OCIOPortfolios-PortefeuillesBDPI@tbs-sct.gc.ca" TargetMode="Externa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2.tiff"/></Relationships>
</file>

<file path=word/_rels/header3.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06F445D833A4EE1958CA7EF31E7795B"/>
        <w:category>
          <w:name w:val="General"/>
          <w:gallery w:val="placeholder"/>
        </w:category>
        <w:types>
          <w:type w:val="bbPlcHdr"/>
        </w:types>
        <w:behaviors>
          <w:behavior w:val="content"/>
        </w:behaviors>
        <w:guid w:val="{9B125BC8-30BD-4453-9E98-82E0914E74EC}"/>
      </w:docPartPr>
      <w:docPartBody>
        <w:p w:rsidR="00082A54" w:rsidRDefault="00082A54" w:rsidP="00AF2431">
          <w:r>
            <w:t>Provide a succinct problem statement (ideally a single sentence) which describes the business problem, the key stakeholders affected, and the reason why this is important.</w:t>
          </w:r>
        </w:p>
        <w:p w:rsidR="00082A54" w:rsidRDefault="00082A54" w:rsidP="00AF2431"/>
        <w:p w:rsidR="002225DB" w:rsidRDefault="00082A54">
          <w:r>
            <w:t>Example: Department XYZ lacks a capability to manage the end-to-end client journey of Canadian citizens resulting in service 20% below standard and lost files.</w:t>
          </w:r>
        </w:p>
      </w:docPartBody>
    </w:docPart>
    <w:docPart>
      <w:docPartPr>
        <w:name w:val="8BA52A63712D4F999EDFB5810861E4A1"/>
        <w:category>
          <w:name w:val="General"/>
          <w:gallery w:val="placeholder"/>
        </w:category>
        <w:types>
          <w:type w:val="bbPlcHdr"/>
        </w:types>
        <w:behaviors>
          <w:behavior w:val="content"/>
        </w:behaviors>
        <w:guid w:val="{DAC4FC1C-2336-42D2-909C-9A490A8E8DF8}"/>
      </w:docPartPr>
      <w:docPartBody>
        <w:p w:rsidR="002225DB" w:rsidRDefault="00082A54" w:rsidP="00957B69">
          <w:pPr>
            <w:pStyle w:val="8BA52A63712D4F999EDFB5810861E4A110"/>
          </w:pPr>
          <w:r w:rsidRPr="00CF138B">
            <w:t>Elaborate on the context within which the problem occurs, and provide objective evidence, such as KPIs or metrics, that demonstrate the magnitude of the problem.</w:t>
          </w:r>
        </w:p>
      </w:docPartBody>
    </w:docPart>
    <w:docPart>
      <w:docPartPr>
        <w:name w:val="CA2E1D40A29D4267BFE2453EF8E33F8C"/>
        <w:category>
          <w:name w:val="General"/>
          <w:gallery w:val="placeholder"/>
        </w:category>
        <w:types>
          <w:type w:val="bbPlcHdr"/>
        </w:types>
        <w:behaviors>
          <w:behavior w:val="content"/>
        </w:behaviors>
        <w:guid w:val="{A423CEFF-DCF6-4497-9EE8-715C4A91699F}"/>
      </w:docPartPr>
      <w:docPartBody>
        <w:p w:rsidR="002225DB" w:rsidRDefault="00082A54">
          <w:r w:rsidRPr="00AF4DC6">
            <w:t>Identifying the root cause is important to ensure that any future action taken to resolve the problem will consider the causes of the problem and in the future not be subject to the same circumstances.</w:t>
          </w:r>
        </w:p>
      </w:docPartBody>
    </w:docPart>
    <w:docPart>
      <w:docPartPr>
        <w:name w:val="F532C42E9C95403683902361DB589533"/>
        <w:category>
          <w:name w:val="General"/>
          <w:gallery w:val="placeholder"/>
        </w:category>
        <w:types>
          <w:type w:val="bbPlcHdr"/>
        </w:types>
        <w:behaviors>
          <w:behavior w:val="content"/>
        </w:behaviors>
        <w:guid w:val="{A18921BA-CB5A-45E1-A9A1-63BBE9A524E2}"/>
      </w:docPartPr>
      <w:docPartBody>
        <w:p w:rsidR="002225DB" w:rsidRDefault="003B0E8C" w:rsidP="003B0E8C">
          <w:pPr>
            <w:pStyle w:val="F532C42E9C95403683902361DB589533"/>
          </w:pPr>
          <w:r w:rsidRPr="00875E9F">
            <w:rPr>
              <w:rStyle w:val="PlaceholderText"/>
            </w:rPr>
            <w:t>Click here to enter text.</w:t>
          </w:r>
        </w:p>
      </w:docPartBody>
    </w:docPart>
    <w:docPart>
      <w:docPartPr>
        <w:name w:val="4D00B8CD89CE48598C59ECA8D27632E4"/>
        <w:category>
          <w:name w:val="General"/>
          <w:gallery w:val="placeholder"/>
        </w:category>
        <w:types>
          <w:type w:val="bbPlcHdr"/>
        </w:types>
        <w:behaviors>
          <w:behavior w:val="content"/>
        </w:behaviors>
        <w:guid w:val="{0753BAE5-8480-4C04-9190-59B2D4C4D4DD}"/>
      </w:docPartPr>
      <w:docPartBody>
        <w:p w:rsidR="002225DB" w:rsidRDefault="00082A54" w:rsidP="00957B69">
          <w:pPr>
            <w:pStyle w:val="4D00B8CD89CE48598C59ECA8D27632E49"/>
          </w:pPr>
          <w:r w:rsidRPr="009A6528">
            <w:t>Describe what the department(s) envision as the future state in terms of people, process, information, and technology.</w:t>
          </w:r>
        </w:p>
      </w:docPartBody>
    </w:docPart>
    <w:docPart>
      <w:docPartPr>
        <w:name w:val="8A9CF1C290B142E09C4E4F09E6F9E017"/>
        <w:category>
          <w:name w:val="General"/>
          <w:gallery w:val="placeholder"/>
        </w:category>
        <w:types>
          <w:type w:val="bbPlcHdr"/>
        </w:types>
        <w:behaviors>
          <w:behavior w:val="content"/>
        </w:behaviors>
        <w:guid w:val="{4C01E63E-AC41-446B-90B3-BB0895D75FF4}"/>
      </w:docPartPr>
      <w:docPartBody>
        <w:p w:rsidR="002225DB" w:rsidRDefault="003B0E8C" w:rsidP="003B0E8C">
          <w:pPr>
            <w:pStyle w:val="8A9CF1C290B142E09C4E4F09E6F9E017"/>
          </w:pPr>
          <w:r w:rsidRPr="00875E9F">
            <w:rPr>
              <w:rStyle w:val="PlaceholderText"/>
            </w:rPr>
            <w:t>Click here to enter text.</w:t>
          </w:r>
        </w:p>
      </w:docPartBody>
    </w:docPart>
    <w:docPart>
      <w:docPartPr>
        <w:name w:val="81A8F42140FF4863AEA7CC242307F6A4"/>
        <w:category>
          <w:name w:val="General"/>
          <w:gallery w:val="placeholder"/>
        </w:category>
        <w:types>
          <w:type w:val="bbPlcHdr"/>
        </w:types>
        <w:behaviors>
          <w:behavior w:val="content"/>
        </w:behaviors>
        <w:guid w:val="{317E7751-BD17-45E0-8143-B31BADAD78E8}"/>
      </w:docPartPr>
      <w:docPartBody>
        <w:p w:rsidR="002225DB" w:rsidRDefault="00082A54" w:rsidP="00082A54">
          <w:pPr>
            <w:pStyle w:val="81A8F42140FF4863AEA7CC242307F6A49"/>
          </w:pPr>
          <w:r w:rsidRPr="00875E9F">
            <w:rPr>
              <w:rStyle w:val="PlaceholderText"/>
            </w:rPr>
            <w:t>Click here to enter text.</w:t>
          </w:r>
        </w:p>
      </w:docPartBody>
    </w:docPart>
    <w:docPart>
      <w:docPartPr>
        <w:name w:val="E2C7B0977BE14E04B3013F3CA700656F"/>
        <w:category>
          <w:name w:val="General"/>
          <w:gallery w:val="placeholder"/>
        </w:category>
        <w:types>
          <w:type w:val="bbPlcHdr"/>
        </w:types>
        <w:behaviors>
          <w:behavior w:val="content"/>
        </w:behaviors>
        <w:guid w:val="{2E9A0242-D07C-41FA-988F-E28DD9653306}"/>
      </w:docPartPr>
      <w:docPartBody>
        <w:p w:rsidR="002225DB" w:rsidRDefault="00082A54" w:rsidP="00082A54">
          <w:pPr>
            <w:pStyle w:val="E2C7B0977BE14E04B3013F3CA700656F9"/>
          </w:pPr>
          <w:r w:rsidRPr="00875E9F">
            <w:rPr>
              <w:rStyle w:val="PlaceholderText"/>
            </w:rPr>
            <w:t>Click here to enter text.</w:t>
          </w:r>
        </w:p>
      </w:docPartBody>
    </w:docPart>
    <w:docPart>
      <w:docPartPr>
        <w:name w:val="99E28E397A5344AF82EE400A2EC63152"/>
        <w:category>
          <w:name w:val="General"/>
          <w:gallery w:val="placeholder"/>
        </w:category>
        <w:types>
          <w:type w:val="bbPlcHdr"/>
        </w:types>
        <w:behaviors>
          <w:behavior w:val="content"/>
        </w:behaviors>
        <w:guid w:val="{E8B9FC2D-17DC-476C-B47F-4580D5F4F54D}"/>
      </w:docPartPr>
      <w:docPartBody>
        <w:p w:rsidR="002225DB" w:rsidRDefault="00082A54" w:rsidP="00082A54">
          <w:pPr>
            <w:pStyle w:val="99E28E397A5344AF82EE400A2EC631529"/>
          </w:pPr>
          <w:r w:rsidRPr="00875E9F">
            <w:rPr>
              <w:rStyle w:val="PlaceholderText"/>
            </w:rPr>
            <w:t>Click here to enter text.</w:t>
          </w:r>
        </w:p>
      </w:docPartBody>
    </w:docPart>
    <w:docPart>
      <w:docPartPr>
        <w:name w:val="571684C9222840EAB2DA72FCEE45E62C"/>
        <w:category>
          <w:name w:val="General"/>
          <w:gallery w:val="placeholder"/>
        </w:category>
        <w:types>
          <w:type w:val="bbPlcHdr"/>
        </w:types>
        <w:behaviors>
          <w:behavior w:val="content"/>
        </w:behaviors>
        <w:guid w:val="{5111BF34-5415-4321-AF0D-1BA27B0977E8}"/>
      </w:docPartPr>
      <w:docPartBody>
        <w:p w:rsidR="002225DB" w:rsidRDefault="00082A54" w:rsidP="00082A54">
          <w:pPr>
            <w:pStyle w:val="571684C9222840EAB2DA72FCEE45E62C8"/>
          </w:pPr>
          <w:r w:rsidRPr="00875E9F">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1B50C0"/>
    <w:multiLevelType w:val="hybridMultilevel"/>
    <w:tmpl w:val="20E66D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274049694">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0E8C"/>
    <w:rsid w:val="00082A54"/>
    <w:rsid w:val="000B63AB"/>
    <w:rsid w:val="002225DB"/>
    <w:rsid w:val="002E3783"/>
    <w:rsid w:val="003B0E8C"/>
    <w:rsid w:val="00405A48"/>
    <w:rsid w:val="004371BB"/>
    <w:rsid w:val="00557194"/>
    <w:rsid w:val="00651D75"/>
    <w:rsid w:val="008E7E2D"/>
    <w:rsid w:val="0090250E"/>
    <w:rsid w:val="00957B69"/>
    <w:rsid w:val="00A00669"/>
    <w:rsid w:val="00CA563C"/>
    <w:rsid w:val="00CC3B0B"/>
    <w:rsid w:val="00F22CFB"/>
    <w:rsid w:val="00F36FF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82A54"/>
    <w:rPr>
      <w:color w:val="808080"/>
    </w:rPr>
  </w:style>
  <w:style w:type="paragraph" w:styleId="ListParagraph">
    <w:name w:val="List Paragraph"/>
    <w:basedOn w:val="Normal"/>
    <w:uiPriority w:val="34"/>
    <w:qFormat/>
    <w:rsid w:val="003B0E8C"/>
    <w:pPr>
      <w:spacing w:after="0" w:line="240" w:lineRule="auto"/>
      <w:ind w:left="720"/>
      <w:contextualSpacing/>
    </w:pPr>
    <w:rPr>
      <w:rFonts w:ascii="Times New Roman" w:eastAsia="Times New Roman" w:hAnsi="Times New Roman" w:cs="Times New Roman"/>
      <w:sz w:val="24"/>
      <w:szCs w:val="24"/>
    </w:rPr>
  </w:style>
  <w:style w:type="paragraph" w:customStyle="1" w:styleId="F532C42E9C95403683902361DB589533">
    <w:name w:val="F532C42E9C95403683902361DB589533"/>
    <w:rsid w:val="003B0E8C"/>
    <w:rPr>
      <w:rFonts w:ascii="Arial" w:eastAsiaTheme="minorHAnsi" w:hAnsi="Arial"/>
      <w:sz w:val="24"/>
      <w:szCs w:val="24"/>
      <w:lang w:eastAsia="en-US"/>
    </w:rPr>
  </w:style>
  <w:style w:type="paragraph" w:styleId="Header">
    <w:name w:val="header"/>
    <w:basedOn w:val="Normal"/>
    <w:link w:val="HeaderChar"/>
    <w:uiPriority w:val="99"/>
    <w:unhideWhenUsed/>
    <w:rsid w:val="003B0E8C"/>
    <w:pPr>
      <w:tabs>
        <w:tab w:val="center" w:pos="4680"/>
        <w:tab w:val="right" w:pos="9360"/>
      </w:tabs>
      <w:spacing w:after="0" w:line="240" w:lineRule="auto"/>
    </w:pPr>
    <w:rPr>
      <w:rFonts w:ascii="Arial" w:eastAsiaTheme="minorHAnsi" w:hAnsi="Arial"/>
      <w:sz w:val="24"/>
      <w:szCs w:val="24"/>
      <w:lang w:eastAsia="en-US"/>
    </w:rPr>
  </w:style>
  <w:style w:type="character" w:customStyle="1" w:styleId="HeaderChar">
    <w:name w:val="Header Char"/>
    <w:basedOn w:val="DefaultParagraphFont"/>
    <w:link w:val="Header"/>
    <w:uiPriority w:val="99"/>
    <w:rsid w:val="003B0E8C"/>
    <w:rPr>
      <w:rFonts w:ascii="Arial" w:eastAsiaTheme="minorHAnsi" w:hAnsi="Arial"/>
      <w:sz w:val="24"/>
      <w:szCs w:val="24"/>
      <w:lang w:eastAsia="en-US"/>
    </w:rPr>
  </w:style>
  <w:style w:type="paragraph" w:customStyle="1" w:styleId="8A9CF1C290B142E09C4E4F09E6F9E017">
    <w:name w:val="8A9CF1C290B142E09C4E4F09E6F9E017"/>
    <w:rsid w:val="003B0E8C"/>
    <w:rPr>
      <w:rFonts w:ascii="Arial" w:eastAsiaTheme="minorHAnsi" w:hAnsi="Arial"/>
      <w:sz w:val="24"/>
      <w:szCs w:val="24"/>
      <w:lang w:eastAsia="en-US"/>
    </w:rPr>
  </w:style>
  <w:style w:type="paragraph" w:styleId="BalloonText">
    <w:name w:val="Balloon Text"/>
    <w:basedOn w:val="Normal"/>
    <w:link w:val="BalloonTextChar"/>
    <w:uiPriority w:val="99"/>
    <w:semiHidden/>
    <w:unhideWhenUsed/>
    <w:rsid w:val="003B0E8C"/>
    <w:pPr>
      <w:spacing w:after="0" w:line="240" w:lineRule="auto"/>
    </w:pPr>
    <w:rPr>
      <w:rFonts w:ascii="Segoe UI" w:eastAsiaTheme="minorHAnsi" w:hAnsi="Segoe UI" w:cs="Segoe UI"/>
      <w:sz w:val="18"/>
      <w:szCs w:val="18"/>
      <w:lang w:eastAsia="en-US"/>
    </w:rPr>
  </w:style>
  <w:style w:type="character" w:customStyle="1" w:styleId="BalloonTextChar">
    <w:name w:val="Balloon Text Char"/>
    <w:basedOn w:val="DefaultParagraphFont"/>
    <w:link w:val="BalloonText"/>
    <w:uiPriority w:val="99"/>
    <w:semiHidden/>
    <w:rsid w:val="003B0E8C"/>
    <w:rPr>
      <w:rFonts w:ascii="Segoe UI" w:eastAsiaTheme="minorHAnsi" w:hAnsi="Segoe UI" w:cs="Segoe UI"/>
      <w:sz w:val="18"/>
      <w:szCs w:val="18"/>
      <w:lang w:eastAsia="en-US"/>
    </w:rPr>
  </w:style>
  <w:style w:type="paragraph" w:styleId="CommentText">
    <w:name w:val="annotation text"/>
    <w:basedOn w:val="Normal"/>
    <w:link w:val="CommentTextChar"/>
    <w:uiPriority w:val="99"/>
    <w:semiHidden/>
    <w:unhideWhenUsed/>
    <w:rsid w:val="003B0E8C"/>
    <w:pPr>
      <w:spacing w:line="240" w:lineRule="auto"/>
    </w:pPr>
    <w:rPr>
      <w:rFonts w:ascii="Arial" w:eastAsiaTheme="minorHAnsi" w:hAnsi="Arial"/>
      <w:sz w:val="20"/>
      <w:szCs w:val="20"/>
      <w:lang w:eastAsia="en-US"/>
    </w:rPr>
  </w:style>
  <w:style w:type="character" w:customStyle="1" w:styleId="CommentTextChar">
    <w:name w:val="Comment Text Char"/>
    <w:basedOn w:val="DefaultParagraphFont"/>
    <w:link w:val="CommentText"/>
    <w:uiPriority w:val="99"/>
    <w:semiHidden/>
    <w:rsid w:val="003B0E8C"/>
    <w:rPr>
      <w:rFonts w:ascii="Arial" w:eastAsiaTheme="minorHAnsi" w:hAnsi="Arial"/>
      <w:sz w:val="20"/>
      <w:szCs w:val="20"/>
      <w:lang w:eastAsia="en-US"/>
    </w:rPr>
  </w:style>
  <w:style w:type="paragraph" w:customStyle="1" w:styleId="8BA52A63712D4F999EDFB5810861E4A110">
    <w:name w:val="8BA52A63712D4F999EDFB5810861E4A110"/>
    <w:rsid w:val="00957B69"/>
    <w:pPr>
      <w:spacing w:after="0" w:line="240" w:lineRule="auto"/>
      <w:ind w:left="720"/>
      <w:contextualSpacing/>
    </w:pPr>
    <w:rPr>
      <w:rFonts w:ascii="Times New Roman" w:eastAsia="Times New Roman" w:hAnsi="Times New Roman" w:cs="Times New Roman"/>
      <w:sz w:val="24"/>
      <w:szCs w:val="24"/>
    </w:rPr>
  </w:style>
  <w:style w:type="paragraph" w:customStyle="1" w:styleId="4D00B8CD89CE48598C59ECA8D27632E49">
    <w:name w:val="4D00B8CD89CE48598C59ECA8D27632E49"/>
    <w:rsid w:val="00957B69"/>
    <w:pPr>
      <w:spacing w:after="0" w:line="240" w:lineRule="auto"/>
      <w:ind w:left="720"/>
      <w:contextualSpacing/>
    </w:pPr>
    <w:rPr>
      <w:rFonts w:ascii="Times New Roman" w:eastAsia="Times New Roman" w:hAnsi="Times New Roman" w:cs="Times New Roman"/>
      <w:sz w:val="24"/>
      <w:szCs w:val="24"/>
    </w:rPr>
  </w:style>
  <w:style w:type="paragraph" w:customStyle="1" w:styleId="571684C9222840EAB2DA72FCEE45E62C8">
    <w:name w:val="571684C9222840EAB2DA72FCEE45E62C8"/>
    <w:rsid w:val="00082A54"/>
    <w:rPr>
      <w:rFonts w:ascii="Arial" w:eastAsiaTheme="minorHAnsi" w:hAnsi="Arial"/>
      <w:sz w:val="24"/>
      <w:szCs w:val="24"/>
      <w:lang w:eastAsia="en-US"/>
    </w:rPr>
  </w:style>
  <w:style w:type="paragraph" w:customStyle="1" w:styleId="81A8F42140FF4863AEA7CC242307F6A49">
    <w:name w:val="81A8F42140FF4863AEA7CC242307F6A49"/>
    <w:rsid w:val="00082A54"/>
    <w:rPr>
      <w:rFonts w:ascii="Arial" w:eastAsiaTheme="minorHAnsi" w:hAnsi="Arial"/>
      <w:sz w:val="24"/>
      <w:szCs w:val="24"/>
      <w:lang w:eastAsia="en-US"/>
    </w:rPr>
  </w:style>
  <w:style w:type="paragraph" w:customStyle="1" w:styleId="E2C7B0977BE14E04B3013F3CA700656F9">
    <w:name w:val="E2C7B0977BE14E04B3013F3CA700656F9"/>
    <w:rsid w:val="00082A54"/>
    <w:rPr>
      <w:rFonts w:ascii="Arial" w:eastAsiaTheme="minorHAnsi" w:hAnsi="Arial"/>
      <w:sz w:val="24"/>
      <w:szCs w:val="24"/>
      <w:lang w:eastAsia="en-US"/>
    </w:rPr>
  </w:style>
  <w:style w:type="paragraph" w:customStyle="1" w:styleId="99E28E397A5344AF82EE400A2EC631529">
    <w:name w:val="99E28E397A5344AF82EE400A2EC631529"/>
    <w:rsid w:val="00082A54"/>
    <w:rPr>
      <w:rFonts w:ascii="Arial" w:eastAsiaTheme="minorHAnsi" w:hAnsi="Arial"/>
      <w:sz w:val="24"/>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A00B37-F75B-474D-BCAD-2CF5575BCA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590</Words>
  <Characters>3363</Characters>
  <Application>Microsoft Office Word</Application>
  <DocSecurity>0</DocSecurity>
  <Lines>28</Lines>
  <Paragraphs>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TBS-SCT</Company>
  <LinksUpToDate>false</LinksUpToDate>
  <CharactersWithSpaces>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Justin Blanchette</dc:creator>
  <cp:lastModifiedBy>Walsh, Brennan</cp:lastModifiedBy>
  <cp:revision>2</cp:revision>
  <cp:lastPrinted>2018-03-21T15:51:00Z</cp:lastPrinted>
  <dcterms:created xsi:type="dcterms:W3CDTF">2024-08-07T18:50:00Z</dcterms:created>
  <dcterms:modified xsi:type="dcterms:W3CDTF">2024-08-07T18:50:00Z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6d5e69b3-5f9f-4b11-9476-7aa8cadc4568</vt:lpwstr>
  </property>
  <property fmtid="{D5CDD505-2E9C-101B-9397-08002B2CF9AE}" pid="3" name="SECCLASS">
    <vt:lpwstr>CLASSU</vt:lpwstr>
  </property>
  <property fmtid="{D5CDD505-2E9C-101B-9397-08002B2CF9AE}" pid="4" name="TBSSCTCLASSIFICATION">
    <vt:lpwstr>UNCLASSIFIED</vt:lpwstr>
  </property>
  <property fmtid="{D5CDD505-2E9C-101B-9397-08002B2CF9AE}" pid="5" name="TBSSCTVISUALMARKINGNO">
    <vt:lpwstr>NO</vt:lpwstr>
  </property>
  <property fmtid="{D5CDD505-2E9C-101B-9397-08002B2CF9AE}" pid="6" name="MSIP_Label_3515d617-256d-4284-aedb-1064be1c4b48_Enabled">
    <vt:lpwstr>true</vt:lpwstr>
  </property>
  <property fmtid="{D5CDD505-2E9C-101B-9397-08002B2CF9AE}" pid="7" name="MSIP_Label_3515d617-256d-4284-aedb-1064be1c4b48_SetDate">
    <vt:lpwstr>2024-07-30T13:33:27Z</vt:lpwstr>
  </property>
  <property fmtid="{D5CDD505-2E9C-101B-9397-08002B2CF9AE}" pid="8" name="MSIP_Label_3515d617-256d-4284-aedb-1064be1c4b48_Method">
    <vt:lpwstr>Privileged</vt:lpwstr>
  </property>
  <property fmtid="{D5CDD505-2E9C-101B-9397-08002B2CF9AE}" pid="9" name="MSIP_Label_3515d617-256d-4284-aedb-1064be1c4b48_Name">
    <vt:lpwstr>3515d617-256d-4284-aedb-1064be1c4b48</vt:lpwstr>
  </property>
  <property fmtid="{D5CDD505-2E9C-101B-9397-08002B2CF9AE}" pid="10" name="MSIP_Label_3515d617-256d-4284-aedb-1064be1c4b48_SiteId">
    <vt:lpwstr>6397df10-4595-4047-9c4f-03311282152b</vt:lpwstr>
  </property>
  <property fmtid="{D5CDD505-2E9C-101B-9397-08002B2CF9AE}" pid="11" name="MSIP_Label_3515d617-256d-4284-aedb-1064be1c4b48_ActionId">
    <vt:lpwstr>830f23d2-c1af-4ef1-bc6d-4cf8067f2f63</vt:lpwstr>
  </property>
  <property fmtid="{D5CDD505-2E9C-101B-9397-08002B2CF9AE}" pid="12" name="MSIP_Label_3515d617-256d-4284-aedb-1064be1c4b48_ContentBits">
    <vt:lpwstr>0</vt:lpwstr>
  </property>
</Properties>
</file>