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widowControl/>
      </w:pPr>
      <w:r>
        <w:rPr>
          <w:b/>
          <w:color w:val="B89445"/>
          <w:sz w:val="22"/>
        </w:rPr>
        <w:t>TOTAL TREE CARE</w:t>
      </w:r>
    </w:p>
    <w:p>
      <w:pPr>
        <w:pStyle w:val="Title"/>
        <w:jc w:val="center"/>
        <w:widowControl/>
      </w:pPr>
      <w:r>
        <w:t>Estimator Field Manual</w:t>
      </w:r>
    </w:p>
    <w:p>
      <w:pPr>
        <w:pStyle w:val="Lead"/>
        <w:ind w:left="648" w:right="648"/>
        <w:jc w:val="center"/>
        <w:widowControl/>
      </w:pPr>
      <w:r>
        <w:t>A practical guide to professional tree-care consultations, prescriptive specifications, production estimating, PHC discovery, and client experience.</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THE TTC ESTIMATOR STANDARD</w:t>
            </w:r>
          </w:p>
          <w:p>
            <w:pPr>
              <w:pStyle w:val="Callout"/>
              <w:spacing w:after="0"/>
            </w:pPr>
            <w:r>
              <w:t>Understand what the client wants. Observe the entire property. Prescribe sound arboriculture. Plan the production. Set clear expectations. Write a scope the crew can execute without calling you.</w:t>
            </w:r>
          </w:p>
        </w:tc>
      </w:tr>
    </w:tbl>
    <w:p>
      <w:pPr>
        <w:spacing w:after="0"/>
        <w:widowControl/>
      </w:pPr>
    </w:p>
    <w:p>
      <w:pPr>
        <w:spacing w:before="1400"/>
        <w:jc w:val="center"/>
        <w:widowControl/>
      </w:pPr>
      <w:r>
        <w:rPr>
          <w:color w:val="667069"/>
          <w:sz w:val="17"/>
        </w:rPr>
        <w:t>Field Reference • Training Manual • 2026 Edition</w:t>
      </w:r>
    </w:p>
    <w:p>
      <w:pPr>
        <w:widowControl/>
      </w:pPr>
      <w:r>
        <w:br w:type="page"/>
      </w:r>
    </w:p>
    <w:p>
      <w:pPr>
        <w:pStyle w:val="Heading1"/>
        <w:keepNext/>
        <w:widowControl/>
      </w:pPr>
      <w:r>
        <w:t>How to Use This Manual</w:t>
      </w:r>
    </w:p>
    <w:p>
      <w:pPr>
        <w:widowControl/>
      </w:pPr>
      <w:r>
        <w:t>This is a field reference, not a sales script and not a substitute for arboricultural training. It defines how Total Tree Care expects a qualified estimator to think, observe, communicate, document, and hand work to production.</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FIVE HATS</w:t>
            </w:r>
          </w:p>
          <w:p>
            <w:pPr>
              <w:pStyle w:val="Callout"/>
              <w:spacing w:after="0"/>
            </w:pPr>
            <w:r>
              <w:t>A TTC estimator is a consultant, arborist, production planner, salesperson, and TTC representative. A strong appointment balances all five.</w:t>
            </w:r>
          </w:p>
        </w:tc>
      </w:tr>
    </w:tbl>
    <w:p>
      <w:pPr>
        <w:spacing w:after="0"/>
        <w:widowControl/>
      </w:pPr>
    </w:p>
    <w:p>
      <w:pPr>
        <w:pStyle w:val="Heading2"/>
        <w:keepNext/>
        <w:widowControl/>
      </w:pPr>
      <w:r>
        <w:t>The operating sequence</w:t>
      </w:r>
    </w:p>
    <w:tbl>
      <w:tblPr>
        <w:tblW w:type="auto" w:w="0"/>
        <w:jc w:val="center"/>
        <w:tblLayout w:type="fixed"/>
        <w:tblLook w:firstColumn="1" w:firstRow="1" w:lastColumn="0" w:lastRow="0" w:noHBand="0" w:noVBand="1" w:val="04A0"/>
      </w:tblPr>
      <w:tblGrid>
        <w:gridCol w:w="4104"/>
        <w:gridCol w:w="4104"/>
      </w:tblGrid>
      <w:tr>
        <w:tc>
          <w:tcPr>
            <w:tcW w:type="dxa" w:w="4104"/>
            <w:shd w:fill="2F4A3A"/>
          </w:tcPr>
          <w:p>
            <w:r>
              <w:rPr>
                <w:b/>
                <w:color w:val="FFFFFF"/>
              </w:rPr>
              <w:t>STEP</w:t>
            </w:r>
          </w:p>
        </w:tc>
        <w:tc>
          <w:tcPr>
            <w:tcW w:type="dxa" w:w="4104"/>
            <w:shd w:fill="2F4A3A"/>
          </w:tcPr>
          <w:p>
            <w:r>
              <w:rPr>
                <w:b/>
                <w:color w:val="FFFFFF"/>
              </w:rPr>
              <w:t>PURPOSE</w:t>
            </w:r>
          </w:p>
        </w:tc>
      </w:tr>
      <w:tr>
        <w:tc>
          <w:tcPr>
            <w:tcW w:type="dxa" w:w="2232"/>
            <w:shd w:fill="F7F8F4"/>
            <w:tcMar>
              <w:top w:w="80" w:type="dxa"/>
              <w:start w:w="100" w:type="dxa"/>
              <w:bottom w:w="80" w:type="dxa"/>
              <w:end w:w="100" w:type="dxa"/>
            </w:tcMar>
            <w:vAlign w:val="center"/>
          </w:tcPr>
          <w:p>
            <w:r>
              <w:t>1. Client objective</w:t>
            </w:r>
          </w:p>
        </w:tc>
        <w:tc>
          <w:tcPr>
            <w:tcW w:type="dxa" w:w="5904"/>
            <w:tcMar>
              <w:top w:w="80" w:type="dxa"/>
              <w:start w:w="100" w:type="dxa"/>
              <w:bottom w:w="80" w:type="dxa"/>
              <w:end w:w="100" w:type="dxa"/>
            </w:tcMar>
            <w:vAlign w:val="center"/>
          </w:tcPr>
          <w:p>
            <w:r>
              <w:t>Understand the result the client actually wants.</w:t>
            </w:r>
          </w:p>
        </w:tc>
      </w:tr>
      <w:tr>
        <w:tc>
          <w:tcPr>
            <w:tcW w:type="dxa" w:w="2232"/>
            <w:shd w:fill="F7F8F4"/>
            <w:tcMar>
              <w:top w:w="80" w:type="dxa"/>
              <w:start w:w="100" w:type="dxa"/>
              <w:bottom w:w="80" w:type="dxa"/>
              <w:end w:w="100" w:type="dxa"/>
            </w:tcMar>
            <w:vAlign w:val="center"/>
          </w:tcPr>
          <w:p>
            <w:r>
              <w:t>2. Continuous assessment</w:t>
            </w:r>
          </w:p>
        </w:tc>
        <w:tc>
          <w:tcPr>
            <w:tcW w:type="dxa" w:w="5904"/>
            <w:tcMar>
              <w:top w:w="80" w:type="dxa"/>
              <w:start w:w="100" w:type="dxa"/>
              <w:bottom w:w="80" w:type="dxa"/>
              <w:end w:w="100" w:type="dxa"/>
            </w:tcMar>
            <w:vAlign w:val="center"/>
          </w:tcPr>
          <w:p>
            <w:r>
              <w:t>Observe trees, woody plants, site conditions, and PHC opportunities from arrival onward.</w:t>
            </w:r>
          </w:p>
        </w:tc>
      </w:tr>
      <w:tr>
        <w:tc>
          <w:tcPr>
            <w:tcW w:type="dxa" w:w="2232"/>
            <w:shd w:fill="F7F8F4"/>
            <w:tcMar>
              <w:top w:w="80" w:type="dxa"/>
              <w:start w:w="100" w:type="dxa"/>
              <w:bottom w:w="80" w:type="dxa"/>
              <w:end w:w="100" w:type="dxa"/>
            </w:tcMar>
            <w:vAlign w:val="center"/>
          </w:tcPr>
          <w:p>
            <w:r>
              <w:t>3. Prescription</w:t>
            </w:r>
          </w:p>
        </w:tc>
        <w:tc>
          <w:tcPr>
            <w:tcW w:type="dxa" w:w="5904"/>
            <w:tcMar>
              <w:top w:w="80" w:type="dxa"/>
              <w:start w:w="100" w:type="dxa"/>
              <w:bottom w:w="80" w:type="dxa"/>
              <w:end w:w="100" w:type="dxa"/>
            </w:tcMar>
            <w:vAlign w:val="center"/>
          </w:tcPr>
          <w:p>
            <w:r>
              <w:t>Reconcile the client goal with sound arboriculture.</w:t>
            </w:r>
          </w:p>
        </w:tc>
      </w:tr>
      <w:tr>
        <w:tc>
          <w:tcPr>
            <w:tcW w:type="dxa" w:w="2232"/>
            <w:shd w:fill="F7F8F4"/>
            <w:tcMar>
              <w:top w:w="80" w:type="dxa"/>
              <w:start w:w="100" w:type="dxa"/>
              <w:bottom w:w="80" w:type="dxa"/>
              <w:end w:w="100" w:type="dxa"/>
            </w:tcMar>
            <w:vAlign w:val="center"/>
          </w:tcPr>
          <w:p>
            <w:r>
              <w:t>4. Production plan</w:t>
            </w:r>
          </w:p>
        </w:tc>
        <w:tc>
          <w:tcPr>
            <w:tcW w:type="dxa" w:w="5904"/>
            <w:tcMar>
              <w:top w:w="80" w:type="dxa"/>
              <w:start w:w="100" w:type="dxa"/>
              <w:bottom w:w="80" w:type="dxa"/>
              <w:end w:w="100" w:type="dxa"/>
            </w:tcMar>
            <w:vAlign w:val="center"/>
          </w:tcPr>
          <w:p>
            <w:r>
              <w:t>Know how TTC will perform the work before pricing it.</w:t>
            </w:r>
          </w:p>
        </w:tc>
      </w:tr>
      <w:tr>
        <w:tc>
          <w:tcPr>
            <w:tcW w:type="dxa" w:w="2232"/>
            <w:shd w:fill="F7F8F4"/>
            <w:tcMar>
              <w:top w:w="80" w:type="dxa"/>
              <w:start w:w="100" w:type="dxa"/>
              <w:bottom w:w="80" w:type="dxa"/>
              <w:end w:w="100" w:type="dxa"/>
            </w:tcMar>
            <w:vAlign w:val="center"/>
          </w:tcPr>
          <w:p>
            <w:r>
              <w:t>5. Options</w:t>
            </w:r>
          </w:p>
        </w:tc>
        <w:tc>
          <w:tcPr>
            <w:tcW w:type="dxa" w:w="5904"/>
            <w:tcMar>
              <w:top w:w="80" w:type="dxa"/>
              <w:start w:w="100" w:type="dxa"/>
              <w:bottom w:w="80" w:type="dxa"/>
              <w:end w:w="100" w:type="dxa"/>
            </w:tcMar>
            <w:vAlign w:val="center"/>
          </w:tcPr>
          <w:p>
            <w:r>
              <w:t>Present legitimate alternatives and useful optional work.</w:t>
            </w:r>
          </w:p>
        </w:tc>
      </w:tr>
      <w:tr>
        <w:tc>
          <w:tcPr>
            <w:tcW w:type="dxa" w:w="2232"/>
            <w:shd w:fill="F7F8F4"/>
            <w:tcMar>
              <w:top w:w="80" w:type="dxa"/>
              <w:start w:w="100" w:type="dxa"/>
              <w:bottom w:w="80" w:type="dxa"/>
              <w:end w:w="100" w:type="dxa"/>
            </w:tcMar>
            <w:vAlign w:val="center"/>
          </w:tcPr>
          <w:p>
            <w:r>
              <w:t>6. Written scope</w:t>
            </w:r>
          </w:p>
        </w:tc>
        <w:tc>
          <w:tcPr>
            <w:tcW w:type="dxa" w:w="5904"/>
            <w:tcMar>
              <w:top w:w="80" w:type="dxa"/>
              <w:start w:w="100" w:type="dxa"/>
              <w:bottom w:w="80" w:type="dxa"/>
              <w:end w:w="100" w:type="dxa"/>
            </w:tcMar>
            <w:vAlign w:val="center"/>
          </w:tcPr>
          <w:p>
            <w:r>
              <w:t>Create concise, measurable, production-ready line items.</w:t>
            </w:r>
          </w:p>
        </w:tc>
      </w:tr>
      <w:tr>
        <w:tc>
          <w:tcPr>
            <w:tcW w:type="dxa" w:w="2232"/>
            <w:shd w:fill="F7F8F4"/>
            <w:tcMar>
              <w:top w:w="80" w:type="dxa"/>
              <w:start w:w="100" w:type="dxa"/>
              <w:bottom w:w="80" w:type="dxa"/>
              <w:end w:w="100" w:type="dxa"/>
            </w:tcMar>
            <w:vAlign w:val="center"/>
          </w:tcPr>
          <w:p>
            <w:r>
              <w:t>7. Expectations</w:t>
            </w:r>
          </w:p>
        </w:tc>
        <w:tc>
          <w:tcPr>
            <w:tcW w:type="dxa" w:w="5904"/>
            <w:tcMar>
              <w:top w:w="80" w:type="dxa"/>
              <w:start w:w="100" w:type="dxa"/>
              <w:bottom w:w="80" w:type="dxa"/>
              <w:end w:w="100" w:type="dxa"/>
            </w:tcMar>
            <w:vAlign w:val="center"/>
          </w:tcPr>
          <w:p>
            <w:r>
              <w:t>State what will happen, what may remain, timing, cleanup, limitations, and uncertainty.</w:t>
            </w:r>
          </w:p>
        </w:tc>
      </w:tr>
      <w:tr>
        <w:tc>
          <w:tcPr>
            <w:tcW w:type="dxa" w:w="2232"/>
            <w:shd w:fill="F7F8F4"/>
            <w:tcMar>
              <w:top w:w="80" w:type="dxa"/>
              <w:start w:w="100" w:type="dxa"/>
              <w:bottom w:w="80" w:type="dxa"/>
              <w:end w:w="100" w:type="dxa"/>
            </w:tcMar>
            <w:vAlign w:val="center"/>
          </w:tcPr>
          <w:p>
            <w:r>
              <w:t>8. Close</w:t>
            </w:r>
          </w:p>
        </w:tc>
        <w:tc>
          <w:tcPr>
            <w:tcW w:type="dxa" w:w="5904"/>
            <w:tcMar>
              <w:top w:w="80" w:type="dxa"/>
              <w:start w:w="100" w:type="dxa"/>
              <w:bottom w:w="80" w:type="dxa"/>
              <w:end w:w="100" w:type="dxa"/>
            </w:tcMar>
            <w:vAlign w:val="center"/>
          </w:tcPr>
          <w:p>
            <w:r>
              <w:t>Confirm priorities, documentation, contact information, and next steps.</w:t>
            </w:r>
          </w:p>
        </w:tc>
      </w:tr>
    </w:tbl>
    <w:p>
      <w:pPr>
        <w:pStyle w:val="Heading2"/>
        <w:keepNext/>
        <w:widowControl/>
      </w:pPr>
      <w:r>
        <w:t>Three classifications used here</w:t>
      </w:r>
    </w:p>
    <w:p>
      <w:pPr>
        <w:widowControl/>
      </w:pPr>
      <w:r>
        <w:t>TTC STANDARD — expected behavior unless a documented exception applies. RECOMMENDED PRACTICE — preferred method when circumstances allow. ESTIMATOR JUDGMENT — intentionally left to qualified professional judgment.</w:t>
      </w:r>
    </w:p>
    <w:p>
      <w:pPr>
        <w:pStyle w:val="Heading1"/>
        <w:keepNext/>
        <w:widowControl/>
      </w:pPr>
      <w:r>
        <w:t>1 | Field Tools &amp; Appointment Readiness</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ARRIVE READY</w:t>
            </w:r>
          </w:p>
          <w:p>
            <w:pPr>
              <w:pStyle w:val="Callout"/>
              <w:spacing w:after="0"/>
            </w:pPr>
            <w:r>
              <w:t>The client should see a prepared professional before a word about price is spoken.</w:t>
            </w:r>
          </w:p>
        </w:tc>
      </w:tr>
    </w:tbl>
    <w:p>
      <w:pPr>
        <w:spacing w:after="0"/>
        <w:widowControl/>
      </w:pPr>
    </w:p>
    <w:p>
      <w:pPr>
        <w:pStyle w:val="Heading2"/>
        <w:keepNext/>
        <w:widowControl/>
      </w:pPr>
      <w:r>
        <w:t>Before leaving for the appointment</w:t>
      </w:r>
    </w:p>
    <w:p>
      <w:pPr>
        <w:pStyle w:val="Checklist"/>
        <w:ind w:left="259" w:hanging="259"/>
        <w:widowControl/>
      </w:pPr>
      <w:r>
        <w:t xml:space="preserve">☐ </w:t>
      </w:r>
      <w:r>
        <w:t>Review the client request, prior TTC history, prior photos, prior treatments, and relevant notes.</w:t>
      </w:r>
    </w:p>
    <w:p>
      <w:pPr>
        <w:pStyle w:val="Checklist"/>
        <w:ind w:left="259" w:hanging="259"/>
        <w:widowControl/>
      </w:pPr>
      <w:r>
        <w:t xml:space="preserve">☐ </w:t>
      </w:r>
      <w:r>
        <w:t>Know the appointment address, client name, stated concerns, and whether the client plans to be present.</w:t>
      </w:r>
    </w:p>
    <w:p>
      <w:pPr>
        <w:pStyle w:val="Checklist"/>
        <w:ind w:left="259" w:hanging="259"/>
        <w:widowControl/>
      </w:pPr>
      <w:r>
        <w:t xml:space="preserve">☐ </w:t>
      </w:r>
      <w:r>
        <w:t>Have the iPad charged and the client record accessible. Carry measurement tools appropriate to the work.</w:t>
      </w:r>
    </w:p>
    <w:p>
      <w:pPr>
        <w:pStyle w:val="Checklist"/>
        <w:ind w:left="259" w:hanging="259"/>
        <w:widowControl/>
      </w:pPr>
      <w:r>
        <w:t xml:space="preserve">☐ </w:t>
      </w:r>
      <w:r>
        <w:t>Know current seasonal lead-time guidance from the office; do not rely on an old lead-time estimate.</w:t>
      </w:r>
    </w:p>
    <w:p>
      <w:pPr>
        <w:pStyle w:val="Checklist"/>
        <w:ind w:left="259" w:hanging="259"/>
        <w:widowControl/>
      </w:pPr>
      <w:r>
        <w:t xml:space="preserve">☐ </w:t>
      </w:r>
      <w:r>
        <w:t>Know your estimating authority. Identify likely situations that will require escalation before you arrive.</w:t>
      </w:r>
    </w:p>
    <w:p>
      <w:pPr>
        <w:pStyle w:val="Heading2"/>
        <w:keepNext/>
        <w:widowControl/>
      </w:pPr>
      <w:r>
        <w:t>Use the iPad as the primary client-facing device</w:t>
      </w:r>
    </w:p>
    <w:p>
      <w:pPr>
        <w:widowControl/>
      </w:pPr>
      <w:r>
        <w:t>Use the iPad for client records, photos, markups, measurements, notes, and prior work whenever practical. A phone may be necessary, but prolonged phone use can look like distraction. The iPad visibly communicates that you are working on the client’s property.</w:t>
      </w:r>
    </w:p>
    <w:p>
      <w:pPr>
        <w:pStyle w:val="Heading2"/>
        <w:keepNext/>
        <w:widowControl/>
      </w:pPr>
      <w:r>
        <w:t>Photograph everything that matters</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PHOTO RULE</w:t>
            </w:r>
          </w:p>
          <w:p>
            <w:pPr>
              <w:pStyle w:val="Callout"/>
              <w:spacing w:after="0"/>
            </w:pPr>
            <w:r>
              <w:t>If a tree, branch, defect, access condition, obstacle, utility, stump, treatment symptom, or site feature materially affects the recommendation, production plan, scope, or expectation: photograph it. When in doubt, take the photo.</w:t>
            </w:r>
          </w:p>
        </w:tc>
      </w:tr>
    </w:tbl>
    <w:p>
      <w:pPr>
        <w:spacing w:after="0"/>
        <w:widowControl/>
      </w:pPr>
    </w:p>
    <w:p>
      <w:pPr>
        <w:pStyle w:val="Checklist"/>
        <w:ind w:left="0" w:hanging="202"/>
        <w:widowControl/>
      </w:pPr>
      <w:r>
        <w:rPr>
          <w:b/>
        </w:rPr>
        <w:t xml:space="preserve">• </w:t>
      </w:r>
      <w:r>
        <w:t>Start with an orientation photo showing the whole tree or work area.</w:t>
      </w:r>
    </w:p>
    <w:p>
      <w:pPr>
        <w:pStyle w:val="Checklist"/>
        <w:ind w:left="0" w:hanging="202"/>
        <w:widowControl/>
      </w:pPr>
      <w:r>
        <w:rPr>
          <w:b/>
        </w:rPr>
        <w:t xml:space="preserve">• </w:t>
      </w:r>
      <w:r>
        <w:t>Take detail photos of the condition being discussed.</w:t>
      </w:r>
    </w:p>
    <w:p>
      <w:pPr>
        <w:pStyle w:val="Checklist"/>
        <w:ind w:left="0" w:hanging="202"/>
        <w:widowControl/>
      </w:pPr>
      <w:r>
        <w:rPr>
          <w:b/>
        </w:rPr>
        <w:t xml:space="preserve">• </w:t>
      </w:r>
      <w:r>
        <w:t>Photograph access: gates, slopes, driveways, turf routes, crane/bucket setup areas, obstacles, utilities, structures, and drop zones.</w:t>
      </w:r>
    </w:p>
    <w:p>
      <w:pPr>
        <w:pStyle w:val="Checklist"/>
        <w:ind w:left="0" w:hanging="202"/>
        <w:widowControl/>
      </w:pPr>
      <w:r>
        <w:rPr>
          <w:b/>
        </w:rPr>
        <w:t xml:space="preserve">• </w:t>
      </w:r>
      <w:r>
        <w:t>Use photo markup for specific limbs or spatial instructions that would be cumbersome to describe in text.</w:t>
      </w:r>
    </w:p>
    <w:p>
      <w:pPr>
        <w:pStyle w:val="Checklist"/>
        <w:ind w:left="0" w:hanging="202"/>
        <w:widowControl/>
      </w:pPr>
      <w:r>
        <w:rPr>
          <w:b/>
        </w:rPr>
        <w:t xml:space="preserve">• </w:t>
      </w:r>
      <w:r>
        <w:t>Before leaving, review the photos. If you discussed a tree and cannot find a useful photo of it, take one.</w:t>
      </w:r>
    </w:p>
    <w:p>
      <w:pPr>
        <w:widowControl/>
      </w:pPr>
      <w:r>
        <w:t>Visible note-taking and photography also reassure the client that their tree is worth remembering. More importantly, they prevent TTC from depending on the estimator’s memory after a day of multiple appointments.</w:t>
      </w:r>
    </w:p>
    <w:p>
      <w:pPr>
        <w:pStyle w:val="Heading1"/>
        <w:keepNext/>
        <w:widowControl/>
      </w:pPr>
      <w:r>
        <w:t>2 | Client Experience &amp; Sales Fundamentals</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TTC SALES PHILOSOPHY</w:t>
            </w:r>
          </w:p>
          <w:p>
            <w:pPr>
              <w:pStyle w:val="Callout"/>
              <w:spacing w:after="0"/>
            </w:pPr>
            <w:r>
              <w:t>Make it easy for the client to trust us, understand us, and make a confident decision. We identify legitimate work; we do not invent work or create false urgency.</w:t>
            </w:r>
          </w:p>
        </w:tc>
      </w:tr>
    </w:tbl>
    <w:p>
      <w:pPr>
        <w:spacing w:after="0"/>
        <w:widowControl/>
      </w:pPr>
    </w:p>
    <w:p>
      <w:pPr>
        <w:pStyle w:val="Heading2"/>
        <w:keepNext/>
        <w:widowControl/>
      </w:pPr>
      <w:r>
        <w:t>First impressions</w:t>
      </w:r>
    </w:p>
    <w:p>
      <w:pPr>
        <w:pStyle w:val="Checklist"/>
        <w:ind w:left="0" w:hanging="202"/>
        <w:widowControl/>
      </w:pPr>
      <w:r>
        <w:rPr>
          <w:b/>
        </w:rPr>
        <w:t xml:space="preserve">• </w:t>
      </w:r>
      <w:r>
        <w:t>Be on time. If you will be late, communicate before you are late.</w:t>
      </w:r>
    </w:p>
    <w:p>
      <w:pPr>
        <w:pStyle w:val="Checklist"/>
        <w:ind w:left="0" w:hanging="202"/>
        <w:widowControl/>
      </w:pPr>
      <w:r>
        <w:rPr>
          <w:b/>
        </w:rPr>
        <w:t xml:space="preserve">• </w:t>
      </w:r>
      <w:r>
        <w:t>Be clean and presentable. A competent working-arborist appearance is appropriate; careless presentation is not.</w:t>
      </w:r>
    </w:p>
    <w:p>
      <w:pPr>
        <w:pStyle w:val="Checklist"/>
        <w:ind w:left="0" w:hanging="202"/>
        <w:widowControl/>
      </w:pPr>
      <w:r>
        <w:rPr>
          <w:b/>
        </w:rPr>
        <w:t xml:space="preserve">• </w:t>
      </w:r>
      <w:r>
        <w:t>Exit the truck promptly and be visibly prepared. At the door, have the iPad/client record ready rather than standing idle with hands in pockets.</w:t>
      </w:r>
    </w:p>
    <w:p>
      <w:pPr>
        <w:pStyle w:val="Checklist"/>
        <w:ind w:left="0" w:hanging="202"/>
        <w:widowControl/>
      </w:pPr>
      <w:r>
        <w:rPr>
          <w:b/>
        </w:rPr>
        <w:t xml:space="preserve">• </w:t>
      </w:r>
      <w:r>
        <w:t>Introduce yourself, make eye contact, use the client’s name, and listen before diagnosing.</w:t>
      </w:r>
    </w:p>
    <w:p>
      <w:pPr>
        <w:pStyle w:val="Checklist"/>
        <w:ind w:left="0" w:hanging="202"/>
        <w:widowControl/>
      </w:pPr>
      <w:r>
        <w:rPr>
          <w:b/>
        </w:rPr>
        <w:t xml:space="preserve">• </w:t>
      </w:r>
      <w:r>
        <w:t>Respect the property from the first step: gates, beds, irrigation, pets, vehicles, and private spaces.</w:t>
      </w:r>
    </w:p>
    <w:p>
      <w:pPr>
        <w:pStyle w:val="Heading2"/>
        <w:keepNext/>
        <w:widowControl/>
      </w:pPr>
      <w:r>
        <w:t>Rapport without manipulation</w:t>
      </w:r>
    </w:p>
    <w:p>
      <w:pPr>
        <w:widowControl/>
      </w:pPr>
      <w:r>
        <w:t>Develop common ground when it genuinely exists. A garden, dog, old tree, woodworking project, neighborhood, or shared interest can create natural rapport. Do not manufacture a connection as a closing tactic. Match the client’s conversational depth: some want a detailed consultation; others want a concise answer.</w:t>
      </w:r>
    </w:p>
    <w:p>
      <w:pPr>
        <w:pStyle w:val="Heading2"/>
        <w:keepNext/>
        <w:widowControl/>
      </w:pPr>
      <w:r>
        <w:t>Listen before demonstrating expertise</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SALES RULE</w:t>
            </w:r>
          </w:p>
          <w:p>
            <w:pPr>
              <w:pStyle w:val="Callout"/>
              <w:spacing w:after="0"/>
            </w:pPr>
            <w:r>
              <w:t>Do not answer the question until you are sure you know the question.</w:t>
            </w:r>
          </w:p>
        </w:tc>
      </w:tr>
    </w:tbl>
    <w:p>
      <w:pPr>
        <w:spacing w:after="0"/>
        <w:widowControl/>
      </w:pPr>
    </w:p>
    <w:p>
      <w:pPr>
        <w:widowControl/>
      </w:pPr>
      <w:r>
        <w:t>Let the client finish. Ask enough questions to uncover the real objective. A request to “thin the tree,” “make it safer,” or “get it off the roof” may hide very different priorities.</w:t>
      </w:r>
    </w:p>
    <w:p>
      <w:pPr>
        <w:pStyle w:val="Heading2"/>
        <w:keepNext/>
        <w:widowControl/>
      </w:pPr>
      <w:r>
        <w:t>Show, do not merely tell</w:t>
      </w:r>
    </w:p>
    <w:p>
      <w:pPr>
        <w:widowControl/>
      </w:pPr>
      <w:r>
        <w:t>Whenever practical, physically show the client the condition: exit holes, chlorosis, root flare, a defect, the branch being discussed, or the access constraint. Use photos and iPad markup. The tree should help sell the work.</w:t>
      </w:r>
    </w:p>
    <w:p>
      <w:pPr>
        <w:pStyle w:val="Heading2"/>
        <w:keepNext/>
        <w:widowControl/>
      </w:pPr>
      <w:r>
        <w:t>Explain recommendations in a simple sequence</w:t>
      </w:r>
    </w:p>
    <w:tbl>
      <w:tblPr>
        <w:tblW w:type="auto" w:w="0"/>
        <w:jc w:val="center"/>
        <w:tblLayout w:type="fixed"/>
        <w:tblLook w:firstColumn="1" w:firstRow="1" w:lastColumn="0" w:lastRow="0" w:noHBand="0" w:noVBand="1" w:val="04A0"/>
      </w:tblPr>
      <w:tblGrid>
        <w:gridCol w:w="4104"/>
        <w:gridCol w:w="4104"/>
      </w:tblGrid>
      <w:tr>
        <w:tc>
          <w:tcPr>
            <w:tcW w:type="dxa" w:w="4104"/>
            <w:shd w:fill="2F4A3A"/>
          </w:tcPr>
          <w:p>
            <w:r>
              <w:rPr>
                <w:b/>
                <w:color w:val="FFFFFF"/>
              </w:rPr>
              <w:t>ELEMENT</w:t>
            </w:r>
          </w:p>
        </w:tc>
        <w:tc>
          <w:tcPr>
            <w:tcW w:type="dxa" w:w="4104"/>
            <w:shd w:fill="2F4A3A"/>
          </w:tcPr>
          <w:p>
            <w:r>
              <w:rPr>
                <w:b/>
                <w:color w:val="FFFFFF"/>
              </w:rPr>
              <w:t>CLIENT-FACING PURPOSE</w:t>
            </w:r>
          </w:p>
        </w:tc>
      </w:tr>
      <w:tr>
        <w:tc>
          <w:tcPr>
            <w:tcW w:type="dxa" w:w="2232"/>
            <w:shd w:fill="F7F8F4"/>
            <w:tcMar>
              <w:top w:w="80" w:type="dxa"/>
              <w:start w:w="100" w:type="dxa"/>
              <w:bottom w:w="80" w:type="dxa"/>
              <w:end w:w="100" w:type="dxa"/>
            </w:tcMar>
            <w:vAlign w:val="center"/>
          </w:tcPr>
          <w:p>
            <w:r>
              <w:t>Observation</w:t>
            </w:r>
          </w:p>
        </w:tc>
        <w:tc>
          <w:tcPr>
            <w:tcW w:type="dxa" w:w="5904"/>
            <w:tcMar>
              <w:top w:w="80" w:type="dxa"/>
              <w:start w:w="100" w:type="dxa"/>
              <w:bottom w:w="80" w:type="dxa"/>
              <w:end w:w="100" w:type="dxa"/>
            </w:tcMar>
            <w:vAlign w:val="center"/>
          </w:tcPr>
          <w:p>
            <w:r>
              <w:t>What I see.</w:t>
            </w:r>
          </w:p>
        </w:tc>
      </w:tr>
      <w:tr>
        <w:tc>
          <w:tcPr>
            <w:tcW w:type="dxa" w:w="2232"/>
            <w:shd w:fill="F7F8F4"/>
            <w:tcMar>
              <w:top w:w="80" w:type="dxa"/>
              <w:start w:w="100" w:type="dxa"/>
              <w:bottom w:w="80" w:type="dxa"/>
              <w:end w:w="100" w:type="dxa"/>
            </w:tcMar>
            <w:vAlign w:val="center"/>
          </w:tcPr>
          <w:p>
            <w:r>
              <w:t>Significance</w:t>
            </w:r>
          </w:p>
        </w:tc>
        <w:tc>
          <w:tcPr>
            <w:tcW w:type="dxa" w:w="5904"/>
            <w:tcMar>
              <w:top w:w="80" w:type="dxa"/>
              <w:start w:w="100" w:type="dxa"/>
              <w:bottom w:w="80" w:type="dxa"/>
              <w:end w:w="100" w:type="dxa"/>
            </w:tcMar>
            <w:vAlign w:val="center"/>
          </w:tcPr>
          <w:p>
            <w:r>
              <w:t>Why it matters.</w:t>
            </w:r>
          </w:p>
        </w:tc>
      </w:tr>
      <w:tr>
        <w:tc>
          <w:tcPr>
            <w:tcW w:type="dxa" w:w="2232"/>
            <w:shd w:fill="F7F8F4"/>
            <w:tcMar>
              <w:top w:w="80" w:type="dxa"/>
              <w:start w:w="100" w:type="dxa"/>
              <w:bottom w:w="80" w:type="dxa"/>
              <w:end w:w="100" w:type="dxa"/>
            </w:tcMar>
            <w:vAlign w:val="center"/>
          </w:tcPr>
          <w:p>
            <w:r>
              <w:t>Recommendation</w:t>
            </w:r>
          </w:p>
        </w:tc>
        <w:tc>
          <w:tcPr>
            <w:tcW w:type="dxa" w:w="5904"/>
            <w:tcMar>
              <w:top w:w="80" w:type="dxa"/>
              <w:start w:w="100" w:type="dxa"/>
              <w:bottom w:w="80" w:type="dxa"/>
              <w:end w:w="100" w:type="dxa"/>
            </w:tcMar>
            <w:vAlign w:val="center"/>
          </w:tcPr>
          <w:p>
            <w:r>
              <w:t>What I recommend doing.</w:t>
            </w:r>
          </w:p>
        </w:tc>
      </w:tr>
      <w:tr>
        <w:tc>
          <w:tcPr>
            <w:tcW w:type="dxa" w:w="2232"/>
            <w:shd w:fill="F7F8F4"/>
            <w:tcMar>
              <w:top w:w="80" w:type="dxa"/>
              <w:start w:w="100" w:type="dxa"/>
              <w:bottom w:w="80" w:type="dxa"/>
              <w:end w:w="100" w:type="dxa"/>
            </w:tcMar>
            <w:vAlign w:val="center"/>
          </w:tcPr>
          <w:p>
            <w:r>
              <w:t>Expectation</w:t>
            </w:r>
          </w:p>
        </w:tc>
        <w:tc>
          <w:tcPr>
            <w:tcW w:type="dxa" w:w="5904"/>
            <w:tcMar>
              <w:top w:w="80" w:type="dxa"/>
              <w:start w:w="100" w:type="dxa"/>
              <w:bottom w:w="80" w:type="dxa"/>
              <w:end w:w="100" w:type="dxa"/>
            </w:tcMar>
            <w:vAlign w:val="center"/>
          </w:tcPr>
          <w:p>
            <w:r>
              <w:t>What the work can and cannot reasonably accomplish.</w:t>
            </w:r>
          </w:p>
        </w:tc>
      </w:tr>
    </w:tbl>
    <w:p>
      <w:pPr>
        <w:pStyle w:val="Heading2"/>
        <w:keepNext/>
        <w:widowControl/>
      </w:pPr>
      <w:r>
        <w:t>Price deliberately</w:t>
      </w:r>
    </w:p>
    <w:p>
      <w:pPr>
        <w:widowControl/>
      </w:pPr>
      <w:r>
        <w:t>Most TTC production-based work should be priced after the visit. Review the scope, photos, production requirements, equipment needs, and line-item interactions before assigning final pricing. Price onsite when an established method makes the number clear. Never guess to provide a number. Deliver the proposal within 24 hours whenever practical.</w:t>
      </w:r>
    </w:p>
    <w:p>
      <w:pPr>
        <w:pStyle w:val="Heading2"/>
        <w:keepNext/>
        <w:widowControl/>
      </w:pPr>
      <w:r>
        <w:t>No artificial urgency</w:t>
      </w:r>
    </w:p>
    <w:p>
      <w:pPr>
        <w:widowControl/>
      </w:pPr>
      <w:r>
        <w:t>Differentiate urgent, seasonally time-sensitive, recommended, preventive, cosmetic/optional, and monitor-only conditions. Saying “I would not spend money on that right now” strengthens the credibility of the recommendations that do warrant investment.</w:t>
      </w:r>
    </w:p>
    <w:p>
      <w:pPr>
        <w:pStyle w:val="Heading1"/>
        <w:keepNext/>
        <w:widowControl/>
      </w:pPr>
      <w:r>
        <w:t>3 | Expectation Management</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UNDER-PROMISE. OVER-DELIVER.</w:t>
            </w:r>
          </w:p>
          <w:p>
            <w:pPr>
              <w:pStyle w:val="Callout"/>
              <w:spacing w:after="0"/>
            </w:pPr>
            <w:r>
              <w:t>A good estimate describes not only what TTC will do, but what the client should realistically expect after we do it.</w:t>
            </w:r>
          </w:p>
        </w:tc>
      </w:tr>
    </w:tbl>
    <w:p>
      <w:pPr>
        <w:spacing w:after="0"/>
        <w:widowControl/>
      </w:pPr>
    </w:p>
    <w:p>
      <w:pPr>
        <w:pStyle w:val="Heading2"/>
        <w:keepNext/>
        <w:widowControl/>
      </w:pPr>
      <w:r>
        <w:t>The surprise test</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ASK YOURSELF</w:t>
            </w:r>
          </w:p>
          <w:p>
            <w:pPr>
              <w:pStyle w:val="Callout"/>
              <w:spacing w:after="0"/>
            </w:pPr>
            <w:r>
              <w:t>What could this client reasonably be surprised or disappointed by after we perform exactly what I am proposing? If the answer is material, address it before the estimate is approved.</w:t>
            </w:r>
          </w:p>
        </w:tc>
      </w:tr>
    </w:tbl>
    <w:p>
      <w:pPr>
        <w:spacing w:after="0"/>
        <w:widowControl/>
      </w:pPr>
    </w:p>
    <w:p>
      <w:pPr>
        <w:pStyle w:val="Heading2"/>
        <w:keepNext/>
        <w:widowControl/>
      </w:pPr>
      <w:r>
        <w:t>Set expectations in five areas</w:t>
      </w:r>
    </w:p>
    <w:tbl>
      <w:tblPr>
        <w:tblW w:type="auto" w:w="0"/>
        <w:jc w:val="center"/>
        <w:tblLayout w:type="fixed"/>
        <w:tblLook w:firstColumn="1" w:firstRow="1" w:lastColumn="0" w:lastRow="0" w:noHBand="0" w:noVBand="1" w:val="04A0"/>
      </w:tblPr>
      <w:tblGrid>
        <w:gridCol w:w="4104"/>
        <w:gridCol w:w="4104"/>
      </w:tblGrid>
      <w:tr>
        <w:tc>
          <w:tcPr>
            <w:tcW w:type="dxa" w:w="4104"/>
            <w:shd w:fill="2F4A3A"/>
          </w:tcPr>
          <w:p>
            <w:r>
              <w:rPr>
                <w:b/>
                <w:color w:val="FFFFFF"/>
              </w:rPr>
              <w:t>AREA</w:t>
            </w:r>
          </w:p>
        </w:tc>
        <w:tc>
          <w:tcPr>
            <w:tcW w:type="dxa" w:w="4104"/>
            <w:shd w:fill="2F4A3A"/>
          </w:tcPr>
          <w:p>
            <w:r>
              <w:rPr>
                <w:b/>
                <w:color w:val="FFFFFF"/>
              </w:rPr>
              <w:t>EXPECTATION TO DEFINE</w:t>
            </w:r>
          </w:p>
        </w:tc>
      </w:tr>
      <w:tr>
        <w:tc>
          <w:tcPr>
            <w:tcW w:type="dxa" w:w="2232"/>
            <w:shd w:fill="F7F8F4"/>
            <w:tcMar>
              <w:top w:w="80" w:type="dxa"/>
              <w:start w:w="100" w:type="dxa"/>
              <w:bottom w:w="80" w:type="dxa"/>
              <w:end w:w="100" w:type="dxa"/>
            </w:tcMar>
            <w:vAlign w:val="center"/>
          </w:tcPr>
          <w:p>
            <w:r>
              <w:t>Result</w:t>
            </w:r>
          </w:p>
        </w:tc>
        <w:tc>
          <w:tcPr>
            <w:tcW w:type="dxa" w:w="5904"/>
            <w:tcMar>
              <w:top w:w="80" w:type="dxa"/>
              <w:start w:w="100" w:type="dxa"/>
              <w:bottom w:w="80" w:type="dxa"/>
              <w:end w:w="100" w:type="dxa"/>
            </w:tcMar>
            <w:vAlign w:val="center"/>
          </w:tcPr>
          <w:p>
            <w:r>
              <w:t>What will look different? What will remain largely unchanged?</w:t>
            </w:r>
          </w:p>
        </w:tc>
      </w:tr>
      <w:tr>
        <w:tc>
          <w:tcPr>
            <w:tcW w:type="dxa" w:w="2232"/>
            <w:shd w:fill="F7F8F4"/>
            <w:tcMar>
              <w:top w:w="80" w:type="dxa"/>
              <w:start w:w="100" w:type="dxa"/>
              <w:bottom w:w="80" w:type="dxa"/>
              <w:end w:w="100" w:type="dxa"/>
            </w:tcMar>
            <w:vAlign w:val="center"/>
          </w:tcPr>
          <w:p>
            <w:r>
              <w:t>Cleanup</w:t>
            </w:r>
          </w:p>
        </w:tc>
        <w:tc>
          <w:tcPr>
            <w:tcW w:type="dxa" w:w="5904"/>
            <w:tcMar>
              <w:top w:w="80" w:type="dxa"/>
              <w:start w:w="100" w:type="dxa"/>
              <w:bottom w:w="80" w:type="dxa"/>
              <w:end w:w="100" w:type="dxa"/>
            </w:tcMar>
            <w:vAlign w:val="center"/>
          </w:tcPr>
          <w:p>
            <w:r>
              <w:t>What debris is removed? What minor residue may realistically remain?</w:t>
            </w:r>
          </w:p>
        </w:tc>
      </w:tr>
      <w:tr>
        <w:tc>
          <w:tcPr>
            <w:tcW w:type="dxa" w:w="2232"/>
            <w:shd w:fill="F7F8F4"/>
            <w:tcMar>
              <w:top w:w="80" w:type="dxa"/>
              <w:start w:w="100" w:type="dxa"/>
              <w:bottom w:w="80" w:type="dxa"/>
              <w:end w:w="100" w:type="dxa"/>
            </w:tcMar>
            <w:vAlign w:val="center"/>
          </w:tcPr>
          <w:p>
            <w:r>
              <w:t>Schedule</w:t>
            </w:r>
          </w:p>
        </w:tc>
        <w:tc>
          <w:tcPr>
            <w:tcW w:type="dxa" w:w="5904"/>
            <w:tcMar>
              <w:top w:w="80" w:type="dxa"/>
              <w:start w:w="100" w:type="dxa"/>
              <w:bottom w:w="80" w:type="dxa"/>
              <w:end w:w="100" w:type="dxa"/>
            </w:tcMar>
            <w:vAlign w:val="center"/>
          </w:tcPr>
          <w:p>
            <w:r>
              <w:t>Give the current realistic lead-time window, not a false exact date.</w:t>
            </w:r>
          </w:p>
        </w:tc>
      </w:tr>
      <w:tr>
        <w:tc>
          <w:tcPr>
            <w:tcW w:type="dxa" w:w="2232"/>
            <w:shd w:fill="F7F8F4"/>
            <w:tcMar>
              <w:top w:w="80" w:type="dxa"/>
              <w:start w:w="100" w:type="dxa"/>
              <w:bottom w:w="80" w:type="dxa"/>
              <w:end w:w="100" w:type="dxa"/>
            </w:tcMar>
            <w:vAlign w:val="center"/>
          </w:tcPr>
          <w:p>
            <w:r>
              <w:t>Site impact</w:t>
            </w:r>
          </w:p>
        </w:tc>
        <w:tc>
          <w:tcPr>
            <w:tcW w:type="dxa" w:w="5904"/>
            <w:tcMar>
              <w:top w:w="80" w:type="dxa"/>
              <w:start w:w="100" w:type="dxa"/>
              <w:bottom w:w="80" w:type="dxa"/>
              <w:end w:w="100" w:type="dxa"/>
            </w:tcMar>
            <w:vAlign w:val="center"/>
          </w:tcPr>
          <w:p>
            <w:r>
              <w:t>Turf impressions, access, mats, stump chips, utility limitations, or other foreseeable effects.</w:t>
            </w:r>
          </w:p>
        </w:tc>
      </w:tr>
      <w:tr>
        <w:tc>
          <w:tcPr>
            <w:tcW w:type="dxa" w:w="2232"/>
            <w:shd w:fill="F7F8F4"/>
            <w:tcMar>
              <w:top w:w="80" w:type="dxa"/>
              <w:start w:w="100" w:type="dxa"/>
              <w:bottom w:w="80" w:type="dxa"/>
              <w:end w:w="100" w:type="dxa"/>
            </w:tcMar>
            <w:vAlign w:val="center"/>
          </w:tcPr>
          <w:p>
            <w:r>
              <w:t>Biological outcome</w:t>
            </w:r>
          </w:p>
        </w:tc>
        <w:tc>
          <w:tcPr>
            <w:tcW w:type="dxa" w:w="5904"/>
            <w:tcMar>
              <w:top w:w="80" w:type="dxa"/>
              <w:start w:w="100" w:type="dxa"/>
              <w:bottom w:w="80" w:type="dxa"/>
              <w:end w:w="100" w:type="dxa"/>
            </w:tcMar>
            <w:vAlign w:val="center"/>
          </w:tcPr>
          <w:p>
            <w:r>
              <w:t>Treatment response, regrowth, recovery, appearance, uncertainty, and time horizon.</w:t>
            </w:r>
          </w:p>
        </w:tc>
      </w:tr>
    </w:tbl>
    <w:p>
      <w:pPr>
        <w:pStyle w:val="Heading2"/>
        <w:keepNext/>
        <w:widowControl/>
      </w:pPr>
      <w:r>
        <w:t>Examples of clear expectations</w:t>
      </w:r>
    </w:p>
    <w:p>
      <w:pPr>
        <w:pStyle w:val="Checklist"/>
        <w:ind w:left="0" w:hanging="202"/>
        <w:widowControl/>
      </w:pPr>
      <w:r>
        <w:rPr>
          <w:b/>
        </w:rPr>
        <w:t xml:space="preserve">• </w:t>
      </w:r>
      <w:r>
        <w:t>“The overall height and spread will remain largely unchanged; this is a clearance and structural prune, not a size reduction.”</w:t>
      </w:r>
    </w:p>
    <w:p>
      <w:pPr>
        <w:pStyle w:val="Checklist"/>
        <w:ind w:left="0" w:hanging="202"/>
        <w:widowControl/>
      </w:pPr>
      <w:r>
        <w:rPr>
          <w:b/>
        </w:rPr>
        <w:t xml:space="preserve">• </w:t>
      </w:r>
      <w:r>
        <w:t>“We will drag and chip the debris, rake the work area, and blow hard surfaces. Tree work can still leave a few tiny twigs or leaves in turf that the mower will handle.”</w:t>
      </w:r>
    </w:p>
    <w:p>
      <w:pPr>
        <w:pStyle w:val="Checklist"/>
        <w:ind w:left="0" w:hanging="202"/>
        <w:widowControl/>
      </w:pPr>
      <w:r>
        <w:rPr>
          <w:b/>
        </w:rPr>
        <w:t xml:space="preserve">• </w:t>
      </w:r>
      <w:r>
        <w:t>“Our crews are currently running about five weeks out, so I would expect a mid- to late-October window. The office will establish the actual date as we get closer.”</w:t>
      </w:r>
    </w:p>
    <w:p>
      <w:pPr>
        <w:pStyle w:val="Checklist"/>
        <w:ind w:left="0" w:hanging="202"/>
        <w:widowControl/>
      </w:pPr>
      <w:r>
        <w:rPr>
          <w:b/>
        </w:rPr>
        <w:t xml:space="preserve">• </w:t>
      </w:r>
      <w:r>
        <w:t>“We can shear the shrub back that far, but it may look sparse immediately afterward. It may fill back in, but that could take years.”</w:t>
      </w:r>
    </w:p>
    <w:p>
      <w:pPr>
        <w:pStyle w:val="Checklist"/>
        <w:ind w:left="0" w:hanging="202"/>
        <w:widowControl/>
      </w:pPr>
      <w:r>
        <w:rPr>
          <w:b/>
        </w:rPr>
        <w:t xml:space="preserve">• </w:t>
      </w:r>
      <w:r>
        <w:t>“We will use mats and take reasonable precautions on the lawn, but heavy equipment can still leave temporary impressions.”</w:t>
      </w:r>
    </w:p>
    <w:p>
      <w:pPr>
        <w:pStyle w:val="Checklist"/>
        <w:ind w:left="0" w:hanging="202"/>
        <w:widowControl/>
      </w:pPr>
      <w:r>
        <w:rPr>
          <w:b/>
        </w:rPr>
        <w:t xml:space="preserve">• </w:t>
      </w:r>
      <w:r>
        <w:t>“The treatment is intended to improve the condition going forward; it will not reverse damage that has already occurred.”</w:t>
      </w:r>
    </w:p>
    <w:p>
      <w:pPr>
        <w:widowControl/>
      </w:pPr>
      <w:r>
        <w:t>Use the current facts of the appointment. The examples above illustrate the level of clarity, not universal promises or fixed tolerances.</w:t>
      </w:r>
    </w:p>
    <w:p>
      <w:pPr>
        <w:pStyle w:val="Heading1"/>
        <w:keepNext/>
        <w:widowControl/>
      </w:pPr>
      <w:r>
        <w:t>4 | The Appointment: Client Objective &amp; Continuous Assessment</w:t>
      </w:r>
    </w:p>
    <w:p>
      <w:pPr>
        <w:pStyle w:val="Heading2"/>
        <w:keepNext/>
        <w:widowControl/>
      </w:pPr>
      <w:r>
        <w:t>Establish the objective</w:t>
      </w:r>
    </w:p>
    <w:p>
      <w:pPr>
        <w:widowControl/>
      </w:pPr>
      <w:r>
        <w:t>TTC STANDARD: Understand the client’s desired outcome before finalizing a recommendation. “Trim this tree” is not an objective. Determine whether the real goal is clearance, safety, appearance, privacy, fruit production, preservation, size management, access, sunlight, maintenance reduction, or something else.</w:t>
      </w:r>
    </w:p>
    <w:p>
      <w:pPr>
        <w:pStyle w:val="Checklist"/>
        <w:ind w:left="0" w:hanging="202"/>
        <w:widowControl/>
      </w:pPr>
      <w:r>
        <w:rPr>
          <w:b/>
        </w:rPr>
        <w:t xml:space="preserve">• </w:t>
      </w:r>
      <w:r>
        <w:t>What prompted the call?</w:t>
      </w:r>
    </w:p>
    <w:p>
      <w:pPr>
        <w:pStyle w:val="Checklist"/>
        <w:ind w:left="0" w:hanging="202"/>
        <w:widowControl/>
      </w:pPr>
      <w:r>
        <w:rPr>
          <w:b/>
        </w:rPr>
        <w:t xml:space="preserve">• </w:t>
      </w:r>
      <w:r>
        <w:t>What is bothering you most?</w:t>
      </w:r>
    </w:p>
    <w:p>
      <w:pPr>
        <w:pStyle w:val="Checklist"/>
        <w:ind w:left="0" w:hanging="202"/>
        <w:widowControl/>
      </w:pPr>
      <w:r>
        <w:rPr>
          <w:b/>
        </w:rPr>
        <w:t xml:space="preserve">• </w:t>
      </w:r>
      <w:r>
        <w:t>What would a successful result look like?</w:t>
      </w:r>
    </w:p>
    <w:p>
      <w:pPr>
        <w:pStyle w:val="Checklist"/>
        <w:ind w:left="0" w:hanging="202"/>
        <w:widowControl/>
      </w:pPr>
      <w:r>
        <w:rPr>
          <w:b/>
        </w:rPr>
        <w:t xml:space="preserve">• </w:t>
      </w:r>
      <w:r>
        <w:t>Is preserving this tree long-term important to you?</w:t>
      </w:r>
    </w:p>
    <w:p>
      <w:pPr>
        <w:pStyle w:val="Checklist"/>
        <w:ind w:left="0" w:hanging="202"/>
        <w:widowControl/>
      </w:pPr>
      <w:r>
        <w:rPr>
          <w:b/>
        </w:rPr>
        <w:t xml:space="preserve">• </w:t>
      </w:r>
      <w:r>
        <w:t>Which items are priorities if you do not do everything at once?</w:t>
      </w:r>
    </w:p>
    <w:p>
      <w:pPr>
        <w:pStyle w:val="Heading2"/>
        <w:keepNext/>
        <w:widowControl/>
      </w:pPr>
      <w:r>
        <w:t>Continuous Property Assessment</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TTC STANDARD</w:t>
            </w:r>
          </w:p>
          <w:p>
            <w:pPr>
              <w:pStyle w:val="Callout"/>
              <w:spacing w:after="0"/>
            </w:pPr>
            <w:r>
              <w:t>Arborist observation begins when you arrive and continues throughout the entire visit. The assessment is not limited to the trees the client names.</w:t>
            </w:r>
          </w:p>
        </w:tc>
      </w:tr>
    </w:tbl>
    <w:p>
      <w:pPr>
        <w:spacing w:after="0"/>
        <w:widowControl/>
      </w:pPr>
    </w:p>
    <w:p>
      <w:pPr>
        <w:widowControl/>
      </w:pPr>
      <w:r>
        <w:t>While moving through the property, keep “arborist eyes” on significant trees and woody plants. The estimator may tell the client at the beginning, during the visit, or at the end. The timing of the statement is not important; the observation is.</w:t>
      </w:r>
    </w:p>
    <w:p>
      <w:pPr>
        <w:widowControl/>
      </w:pPr>
      <w:r>
        <w:t>Possible client language: “While we were walking around, I noticed a couple of things on some of the other trees that were not part of what you originally called about. Let me show you what I saw.”</w:t>
      </w:r>
    </w:p>
    <w:p>
      <w:pPr>
        <w:pStyle w:val="Heading2"/>
        <w:keepNext/>
        <w:widowControl/>
      </w:pPr>
      <w:r>
        <w:t>What to notice</w:t>
      </w:r>
    </w:p>
    <w:tbl>
      <w:tblPr>
        <w:tblW w:type="auto" w:w="0"/>
        <w:jc w:val="center"/>
        <w:tblLayout w:type="fixed"/>
        <w:tblLook w:firstColumn="1" w:firstRow="1" w:lastColumn="0" w:lastRow="0" w:noHBand="0" w:noVBand="1" w:val="04A0"/>
      </w:tblPr>
      <w:tblGrid>
        <w:gridCol w:w="4104"/>
        <w:gridCol w:w="4104"/>
      </w:tblGrid>
      <w:tr>
        <w:tc>
          <w:tcPr>
            <w:tcW w:type="dxa" w:w="4104"/>
            <w:shd w:fill="2F4A3A"/>
          </w:tcPr>
          <w:p>
            <w:r>
              <w:rPr>
                <w:b/>
                <w:color w:val="FFFFFF"/>
              </w:rPr>
              <w:t>SCAN</w:t>
            </w:r>
          </w:p>
        </w:tc>
        <w:tc>
          <w:tcPr>
            <w:tcW w:type="dxa" w:w="4104"/>
            <w:shd w:fill="2F4A3A"/>
          </w:tcPr>
          <w:p>
            <w:r>
              <w:rPr>
                <w:b/>
                <w:color w:val="FFFFFF"/>
              </w:rPr>
              <w:t>EXAMPLES</w:t>
            </w:r>
          </w:p>
        </w:tc>
      </w:tr>
      <w:tr>
        <w:tc>
          <w:tcPr>
            <w:tcW w:type="dxa" w:w="2232"/>
            <w:shd w:fill="F7F8F4"/>
            <w:tcMar>
              <w:top w:w="80" w:type="dxa"/>
              <w:start w:w="100" w:type="dxa"/>
              <w:bottom w:w="80" w:type="dxa"/>
              <w:end w:w="100" w:type="dxa"/>
            </w:tcMar>
            <w:vAlign w:val="center"/>
          </w:tcPr>
          <w:p>
            <w:r>
              <w:t>Foliage/canopy</w:t>
            </w:r>
          </w:p>
        </w:tc>
        <w:tc>
          <w:tcPr>
            <w:tcW w:type="dxa" w:w="5904"/>
            <w:tcMar>
              <w:top w:w="80" w:type="dxa"/>
              <w:start w:w="100" w:type="dxa"/>
              <w:bottom w:w="80" w:type="dxa"/>
              <w:end w:w="100" w:type="dxa"/>
            </w:tcMar>
            <w:vAlign w:val="center"/>
          </w:tcPr>
          <w:p>
            <w:r>
              <w:t>Color, chlorosis, scorch, sparse canopy, abnormal leaf size, dieback, premature defoliation.</w:t>
            </w:r>
          </w:p>
        </w:tc>
      </w:tr>
      <w:tr>
        <w:tc>
          <w:tcPr>
            <w:tcW w:type="dxa" w:w="2232"/>
            <w:shd w:fill="F7F8F4"/>
            <w:tcMar>
              <w:top w:w="80" w:type="dxa"/>
              <w:start w:w="100" w:type="dxa"/>
              <w:bottom w:w="80" w:type="dxa"/>
              <w:end w:w="100" w:type="dxa"/>
            </w:tcMar>
            <w:vAlign w:val="center"/>
          </w:tcPr>
          <w:p>
            <w:r>
              <w:t>Pests/disease</w:t>
            </w:r>
          </w:p>
        </w:tc>
        <w:tc>
          <w:tcPr>
            <w:tcW w:type="dxa" w:w="5904"/>
            <w:tcMar>
              <w:top w:w="80" w:type="dxa"/>
              <w:start w:w="100" w:type="dxa"/>
              <w:bottom w:w="80" w:type="dxa"/>
              <w:end w:w="100" w:type="dxa"/>
            </w:tcMar>
            <w:vAlign w:val="center"/>
          </w:tcPr>
          <w:p>
            <w:r>
              <w:t>Exit holes, galleries where visible, pitch, gummosis, scale, cankers, foliar symptoms.</w:t>
            </w:r>
          </w:p>
        </w:tc>
      </w:tr>
      <w:tr>
        <w:tc>
          <w:tcPr>
            <w:tcW w:type="dxa" w:w="2232"/>
            <w:shd w:fill="F7F8F4"/>
            <w:tcMar>
              <w:top w:w="80" w:type="dxa"/>
              <w:start w:w="100" w:type="dxa"/>
              <w:bottom w:w="80" w:type="dxa"/>
              <w:end w:w="100" w:type="dxa"/>
            </w:tcMar>
            <w:vAlign w:val="center"/>
          </w:tcPr>
          <w:p>
            <w:r>
              <w:t>Structure</w:t>
            </w:r>
          </w:p>
        </w:tc>
        <w:tc>
          <w:tcPr>
            <w:tcW w:type="dxa" w:w="5904"/>
            <w:tcMar>
              <w:top w:w="80" w:type="dxa"/>
              <w:start w:w="100" w:type="dxa"/>
              <w:bottom w:w="80" w:type="dxa"/>
              <w:end w:w="100" w:type="dxa"/>
            </w:tcMar>
            <w:vAlign w:val="center"/>
          </w:tcPr>
          <w:p>
            <w:r>
              <w:t>Deadwood, codominance, included unions, previous failures, developing structural defects.</w:t>
            </w:r>
          </w:p>
        </w:tc>
      </w:tr>
      <w:tr>
        <w:tc>
          <w:tcPr>
            <w:tcW w:type="dxa" w:w="2232"/>
            <w:shd w:fill="F7F8F4"/>
            <w:tcMar>
              <w:top w:w="80" w:type="dxa"/>
              <w:start w:w="100" w:type="dxa"/>
              <w:bottom w:w="80" w:type="dxa"/>
              <w:end w:w="100" w:type="dxa"/>
            </w:tcMar>
            <w:vAlign w:val="center"/>
          </w:tcPr>
          <w:p>
            <w:r>
              <w:t>Root/site</w:t>
            </w:r>
          </w:p>
        </w:tc>
        <w:tc>
          <w:tcPr>
            <w:tcW w:type="dxa" w:w="5904"/>
            <w:tcMar>
              <w:top w:w="80" w:type="dxa"/>
              <w:start w:w="100" w:type="dxa"/>
              <w:bottom w:w="80" w:type="dxa"/>
              <w:end w:w="100" w:type="dxa"/>
            </w:tcMar>
            <w:vAlign w:val="center"/>
          </w:tcPr>
          <w:p>
            <w:r>
              <w:t>Root flare, obvious girdling roots, planting depth, mower damage, irrigation, drainage, turf/rock competition, grade change.</w:t>
            </w:r>
          </w:p>
        </w:tc>
      </w:tr>
      <w:tr>
        <w:tc>
          <w:tcPr>
            <w:tcW w:type="dxa" w:w="2232"/>
            <w:shd w:fill="F7F8F4"/>
            <w:tcMar>
              <w:top w:w="80" w:type="dxa"/>
              <w:start w:w="100" w:type="dxa"/>
              <w:bottom w:w="80" w:type="dxa"/>
              <w:end w:w="100" w:type="dxa"/>
            </w:tcMar>
            <w:vAlign w:val="center"/>
          </w:tcPr>
          <w:p>
            <w:r>
              <w:t>Development</w:t>
            </w:r>
          </w:p>
        </w:tc>
        <w:tc>
          <w:tcPr>
            <w:tcW w:type="dxa" w:w="5904"/>
            <w:tcMar>
              <w:top w:w="80" w:type="dxa"/>
              <w:start w:w="100" w:type="dxa"/>
              <w:bottom w:w="80" w:type="dxa"/>
              <w:end w:w="100" w:type="dxa"/>
            </w:tcMar>
            <w:vAlign w:val="center"/>
          </w:tcPr>
          <w:p>
            <w:r>
              <w:t>Young-tree structure, developing clearance conflicts, trees outgrowing the site.</w:t>
            </w:r>
          </w:p>
        </w:tc>
      </w:tr>
      <w:tr>
        <w:tc>
          <w:tcPr>
            <w:tcW w:type="dxa" w:w="2232"/>
            <w:shd w:fill="F7F8F4"/>
            <w:tcMar>
              <w:top w:w="80" w:type="dxa"/>
              <w:start w:w="100" w:type="dxa"/>
              <w:bottom w:w="80" w:type="dxa"/>
              <w:end w:w="100" w:type="dxa"/>
            </w:tcMar>
            <w:vAlign w:val="center"/>
          </w:tcPr>
          <w:p>
            <w:r>
              <w:t>Preventive PHC</w:t>
            </w:r>
          </w:p>
        </w:tc>
        <w:tc>
          <w:tcPr>
            <w:tcW w:type="dxa" w:w="5904"/>
            <w:tcMar>
              <w:top w:w="80" w:type="dxa"/>
              <w:start w:w="100" w:type="dxa"/>
              <w:bottom w:w="80" w:type="dxa"/>
              <w:end w:w="100" w:type="dxa"/>
            </w:tcMar>
            <w:vAlign w:val="center"/>
          </w:tcPr>
          <w:p>
            <w:r>
              <w:t>Valuable susceptible trees where preventive treatment may be rational.</w:t>
            </w:r>
          </w:p>
        </w:tc>
      </w:tr>
    </w:tbl>
    <w:p>
      <w:pPr>
        <w:widowControl/>
      </w:pPr>
      <w:r>
        <w:t>Continuous Property Assessment is a quick visual awareness standard, not a representation that TTC performed a formal comprehensive inspection of every tree.</w:t>
      </w:r>
    </w:p>
    <w:p>
      <w:pPr>
        <w:pStyle w:val="Heading1"/>
        <w:keepNext/>
        <w:widowControl/>
      </w:pPr>
      <w:r>
        <w:t>5 | Prescribe the Arboriculture</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CORE RULE</w:t>
            </w:r>
          </w:p>
          <w:p>
            <w:pPr>
              <w:pStyle w:val="Callout"/>
              <w:spacing w:after="0"/>
            </w:pPr>
            <w:r>
              <w:t>The client chooses the outcome they value. The arborist determines which practices TTC can responsibly prescribe to pursue that outcome.</w:t>
            </w:r>
          </w:p>
        </w:tc>
      </w:tr>
    </w:tbl>
    <w:p>
      <w:pPr>
        <w:spacing w:after="0"/>
        <w:widowControl/>
      </w:pPr>
    </w:p>
    <w:p>
      <w:pPr>
        <w:pStyle w:val="Heading2"/>
        <w:keepNext/>
        <w:widowControl/>
      </w:pPr>
      <w:r>
        <w:t>Do not confuse the requested method with the objective</w:t>
      </w:r>
    </w:p>
    <w:p>
      <w:pPr>
        <w:widowControl/>
      </w:pPr>
      <w:r>
        <w:t>A client may request topping, aggressive height reduction, excessive clearance, removal of every limb over a property line, or chemical treatment for a cosmetic issue. Identify the underlying objective and propose a biologically and structurally reasonable path. If TTC should not perform the requested method, explain why and offer the closest defensible alternative.</w:t>
      </w:r>
    </w:p>
    <w:p>
      <w:pPr>
        <w:pStyle w:val="Heading2"/>
        <w:keepNext/>
        <w:widowControl/>
      </w:pPr>
      <w:r>
        <w:t>Every observation has several possible dispositions</w:t>
      </w:r>
    </w:p>
    <w:tbl>
      <w:tblPr>
        <w:tblW w:type="auto" w:w="0"/>
        <w:jc w:val="center"/>
        <w:tblLayout w:type="fixed"/>
        <w:tblLook w:firstColumn="1" w:firstRow="1" w:lastColumn="0" w:lastRow="0" w:noHBand="0" w:noVBand="1" w:val="04A0"/>
      </w:tblPr>
      <w:tblGrid>
        <w:gridCol w:w="4104"/>
        <w:gridCol w:w="4104"/>
      </w:tblGrid>
      <w:tr>
        <w:tc>
          <w:tcPr>
            <w:tcW w:type="dxa" w:w="4104"/>
            <w:shd w:fill="2F4A3A"/>
          </w:tcPr>
          <w:p>
            <w:r>
              <w:rPr>
                <w:b/>
                <w:color w:val="FFFFFF"/>
              </w:rPr>
              <w:t>DISPOSITION</w:t>
            </w:r>
          </w:p>
        </w:tc>
        <w:tc>
          <w:tcPr>
            <w:tcW w:type="dxa" w:w="4104"/>
            <w:shd w:fill="2F4A3A"/>
          </w:tcPr>
          <w:p>
            <w:r>
              <w:rPr>
                <w:b/>
                <w:color w:val="FFFFFF"/>
              </w:rPr>
              <w:t>WHEN IT FITS</w:t>
            </w:r>
          </w:p>
        </w:tc>
      </w:tr>
      <w:tr>
        <w:tc>
          <w:tcPr>
            <w:tcW w:type="dxa" w:w="2232"/>
            <w:shd w:fill="F7F8F4"/>
            <w:tcMar>
              <w:top w:w="80" w:type="dxa"/>
              <w:start w:w="100" w:type="dxa"/>
              <w:bottom w:w="80" w:type="dxa"/>
              <w:end w:w="100" w:type="dxa"/>
            </w:tcMar>
            <w:vAlign w:val="center"/>
          </w:tcPr>
          <w:p>
            <w:r>
              <w:t>Work/treat now</w:t>
            </w:r>
          </w:p>
        </w:tc>
        <w:tc>
          <w:tcPr>
            <w:tcW w:type="dxa" w:w="5904"/>
            <w:tcMar>
              <w:top w:w="80" w:type="dxa"/>
              <w:start w:w="100" w:type="dxa"/>
              <w:bottom w:w="80" w:type="dxa"/>
              <w:end w:w="100" w:type="dxa"/>
            </w:tcMar>
            <w:vAlign w:val="center"/>
          </w:tcPr>
          <w:p>
            <w:r>
              <w:t>The condition and expected benefit justify action.</w:t>
            </w:r>
          </w:p>
        </w:tc>
      </w:tr>
      <w:tr>
        <w:tc>
          <w:tcPr>
            <w:tcW w:type="dxa" w:w="2232"/>
            <w:shd w:fill="F7F8F4"/>
            <w:tcMar>
              <w:top w:w="80" w:type="dxa"/>
              <w:start w:w="100" w:type="dxa"/>
              <w:bottom w:w="80" w:type="dxa"/>
              <w:end w:w="100" w:type="dxa"/>
            </w:tcMar>
            <w:vAlign w:val="center"/>
          </w:tcPr>
          <w:p>
            <w:r>
              <w:t>Monitor</w:t>
            </w:r>
          </w:p>
        </w:tc>
        <w:tc>
          <w:tcPr>
            <w:tcW w:type="dxa" w:w="5904"/>
            <w:tcMar>
              <w:top w:w="80" w:type="dxa"/>
              <w:start w:w="100" w:type="dxa"/>
              <w:bottom w:w="80" w:type="dxa"/>
              <w:end w:w="100" w:type="dxa"/>
            </w:tcMar>
            <w:vAlign w:val="center"/>
          </w:tcPr>
          <w:p>
            <w:r>
              <w:t>The condition deserves attention but not immediate work.</w:t>
            </w:r>
          </w:p>
        </w:tc>
      </w:tr>
      <w:tr>
        <w:tc>
          <w:tcPr>
            <w:tcW w:type="dxa" w:w="2232"/>
            <w:shd w:fill="F7F8F4"/>
            <w:tcMar>
              <w:top w:w="80" w:type="dxa"/>
              <w:start w:w="100" w:type="dxa"/>
              <w:bottom w:w="80" w:type="dxa"/>
              <w:end w:w="100" w:type="dxa"/>
            </w:tcMar>
            <w:vAlign w:val="center"/>
          </w:tcPr>
          <w:p>
            <w:r>
              <w:t>Cultural correction</w:t>
            </w:r>
          </w:p>
        </w:tc>
        <w:tc>
          <w:tcPr>
            <w:tcW w:type="dxa" w:w="5904"/>
            <w:tcMar>
              <w:top w:w="80" w:type="dxa"/>
              <w:start w:w="100" w:type="dxa"/>
              <w:bottom w:w="80" w:type="dxa"/>
              <w:end w:w="100" w:type="dxa"/>
            </w:tcMar>
            <w:vAlign w:val="center"/>
          </w:tcPr>
          <w:p>
            <w:r>
              <w:t>Water, mulch, root-zone, irrigation, site, or maintenance change is the primary response.</w:t>
            </w:r>
          </w:p>
        </w:tc>
      </w:tr>
      <w:tr>
        <w:tc>
          <w:tcPr>
            <w:tcW w:type="dxa" w:w="2232"/>
            <w:shd w:fill="F7F8F4"/>
            <w:tcMar>
              <w:top w:w="80" w:type="dxa"/>
              <w:start w:w="100" w:type="dxa"/>
              <w:bottom w:w="80" w:type="dxa"/>
              <w:end w:w="100" w:type="dxa"/>
            </w:tcMar>
            <w:vAlign w:val="center"/>
          </w:tcPr>
          <w:p>
            <w:r>
              <w:t>Investigate further</w:t>
            </w:r>
          </w:p>
        </w:tc>
        <w:tc>
          <w:tcPr>
            <w:tcW w:type="dxa" w:w="5904"/>
            <w:tcMar>
              <w:top w:w="80" w:type="dxa"/>
              <w:start w:w="100" w:type="dxa"/>
              <w:bottom w:w="80" w:type="dxa"/>
              <w:end w:w="100" w:type="dxa"/>
            </w:tcMar>
            <w:vAlign w:val="center"/>
          </w:tcPr>
          <w:p>
            <w:r>
              <w:t>More history, testing, excavation, advanced assessment, label review, or senior input is needed.</w:t>
            </w:r>
          </w:p>
        </w:tc>
      </w:tr>
      <w:tr>
        <w:tc>
          <w:tcPr>
            <w:tcW w:type="dxa" w:w="2232"/>
            <w:shd w:fill="F7F8F4"/>
            <w:tcMar>
              <w:top w:w="80" w:type="dxa"/>
              <w:start w:w="100" w:type="dxa"/>
              <w:bottom w:w="80" w:type="dxa"/>
              <w:end w:w="100" w:type="dxa"/>
            </w:tcMar>
            <w:vAlign w:val="center"/>
          </w:tcPr>
          <w:p>
            <w:r>
              <w:t>No action</w:t>
            </w:r>
          </w:p>
        </w:tc>
        <w:tc>
          <w:tcPr>
            <w:tcW w:type="dxa" w:w="5904"/>
            <w:tcMar>
              <w:top w:w="80" w:type="dxa"/>
              <w:start w:w="100" w:type="dxa"/>
              <w:bottom w:w="80" w:type="dxa"/>
              <w:end w:w="100" w:type="dxa"/>
            </w:tcMar>
            <w:vAlign w:val="center"/>
          </w:tcPr>
          <w:p>
            <w:r>
              <w:t>The issue is minor, cosmetic, normal, or not worth the client’s money.</w:t>
            </w:r>
          </w:p>
        </w:tc>
      </w:tr>
    </w:tbl>
    <w:p>
      <w:pPr>
        <w:pStyle w:val="Heading2"/>
        <w:keepNext/>
        <w:widowControl/>
      </w:pPr>
      <w:r>
        <w:t>State uncertainty accurately</w:t>
      </w:r>
    </w:p>
    <w:p>
      <w:pPr>
        <w:widowControl/>
      </w:pPr>
      <w:r>
        <w:t>Use confident uncertainty. “My leading suspicion is…” or “I do not have enough evidence to recommend treatment yet” is better than guessing. Diagnosis outside your authority is an escalation, not a sales opportunity.</w:t>
      </w:r>
    </w:p>
    <w:p>
      <w:pPr>
        <w:pStyle w:val="Heading2"/>
        <w:keepNext/>
        <w:widowControl/>
      </w:pPr>
      <w:r>
        <w:t>Risk is not binary</w:t>
      </w:r>
    </w:p>
    <w:p>
      <w:pPr>
        <w:widowControl/>
      </w:pPr>
      <w:r>
        <w:t>Avoid casual declarations that a tree is “safe” or “unsafe.” Discuss observable conditions, targets, likelihood, consequence, uncertainty, mitigation options, and the limits of the level of assessment performed. Escalate advanced risk situations beyond your qualification.</w:t>
      </w:r>
    </w:p>
    <w:p>
      <w:pPr>
        <w:pStyle w:val="Heading1"/>
        <w:keepNext/>
        <w:widowControl/>
      </w:pPr>
      <w:r>
        <w:t>6 | Prescriptive Pruning &amp; Written Specifications</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TTC PRUNING PHILOSOPHY</w:t>
            </w:r>
          </w:p>
          <w:p>
            <w:pPr>
              <w:pStyle w:val="Callout"/>
              <w:spacing w:after="0"/>
            </w:pPr>
            <w:r>
              <w:t>We do not sell “tree trimming.” We prescribe pruning to address identified conditions and accomplish defined objectives.</w:t>
            </w:r>
          </w:p>
        </w:tc>
      </w:tr>
    </w:tbl>
    <w:p>
      <w:pPr>
        <w:spacing w:after="0"/>
        <w:widowControl/>
      </w:pPr>
    </w:p>
    <w:p>
      <w:pPr>
        <w:widowControl/>
      </w:pPr>
      <w:r>
        <w:t>ANSI A300-2023 emphasizes objective-based pruning and provides guidance for writing work specifications. Current A300 guidance identifies the tree location, pruning objective, pruning system, detailed specifications, and additional information as needed. TTC builds on that foundation with concise production instructions and explicit client expectations.</w:t>
      </w:r>
    </w:p>
    <w:p>
      <w:pPr>
        <w:pStyle w:val="Heading2"/>
        <w:widowControl/>
      </w:pPr>
      <w:r>
        <w:t>Identify the tree precisely</w:t>
      </w:r>
    </w:p>
    <w:p>
      <w:pPr>
        <w:widowControl/>
      </w:pPr>
      <w:r>
        <w:t>TTC STANDARD: Every pruning line item must identify the tree by both common name and scientific name, followed by an unambiguous location. This follows the Prescriptive Tree Pruning companion training framework used with ANSI A300 and removes species ambiguity for the estimator and production crew. From the client-facing perspective, correct use of the scientific name also reinforces TTC’s credibility as professional arborists and demonstrates that the recommendation is based on a specific tree—not a generic “maple” or “pine.” Example: “Tree: Green ash (Fraxinus pennsylvanica) to the southeast of the home.”</w:t>
      </w:r>
    </w:p>
    <w:p>
      <w:pPr>
        <w:pStyle w:val="Heading2"/>
        <w:keepNext/>
        <w:widowControl/>
      </w:pPr>
      <w:r>
        <w:t>The TTC line-item model</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CONDITION → OBJECTIVE → SPECIFICATION → EXPECTATION</w:t>
            </w:r>
          </w:p>
          <w:p>
            <w:pPr>
              <w:pStyle w:val="Callout"/>
              <w:spacing w:after="0"/>
            </w:pPr>
            <w:r>
              <w:t>TTC line items normally use Tree → Objective → Specifications. Relevant existing conditions and expected limitations should be incorporated succinctly where they help explain the prescription or set expectations; they do not require separate labeled sections.</w:t>
            </w:r>
          </w:p>
        </w:tc>
      </w:tr>
    </w:tbl>
    <w:p>
      <w:pPr>
        <w:spacing w:after="0"/>
        <w:widowControl/>
      </w:pPr>
    </w:p>
    <w:p>
      <w:pPr>
        <w:pStyle w:val="Heading2"/>
        <w:keepNext/>
        <w:widowControl/>
      </w:pPr>
      <w:r>
        <w:t>The five jobs of a pruning line item</w:t>
      </w:r>
    </w:p>
    <w:p>
      <w:pPr>
        <w:pStyle w:val="Checklist"/>
        <w:ind w:left="0" w:hanging="202"/>
        <w:widowControl/>
      </w:pPr>
      <w:r>
        <w:rPr>
          <w:b/>
        </w:rPr>
        <w:t xml:space="preserve">• </w:t>
      </w:r>
      <w:r>
        <w:t>Document the relevant existing condition we are trying to ameliorate.</w:t>
      </w:r>
    </w:p>
    <w:p>
      <w:pPr>
        <w:pStyle w:val="Checklist"/>
        <w:ind w:left="0" w:hanging="202"/>
        <w:widowControl/>
      </w:pPr>
      <w:r>
        <w:rPr>
          <w:b/>
        </w:rPr>
        <w:t xml:space="preserve">• </w:t>
      </w:r>
      <w:r>
        <w:t>State an objective the client can understand immediately.</w:t>
      </w:r>
    </w:p>
    <w:p>
      <w:pPr>
        <w:pStyle w:val="Checklist"/>
        <w:ind w:left="0" w:hanging="202"/>
        <w:widowControl/>
      </w:pPr>
      <w:r>
        <w:rPr>
          <w:b/>
        </w:rPr>
        <w:t xml:space="preserve">• </w:t>
      </w:r>
      <w:r>
        <w:t>State specifications precisely enough that the client can still follow along.</w:t>
      </w:r>
    </w:p>
    <w:p>
      <w:pPr>
        <w:pStyle w:val="Checklist"/>
        <w:ind w:left="0" w:hanging="202"/>
        <w:widowControl/>
      </w:pPr>
      <w:r>
        <w:rPr>
          <w:b/>
        </w:rPr>
        <w:t xml:space="preserve">• </w:t>
      </w:r>
      <w:r>
        <w:t>Tell the production crew exactly what to do without calling the estimator.</w:t>
      </w:r>
    </w:p>
    <w:p>
      <w:pPr>
        <w:pStyle w:val="Checklist"/>
        <w:ind w:left="0" w:hanging="202"/>
        <w:widowControl/>
      </w:pPr>
      <w:r>
        <w:rPr>
          <w:b/>
        </w:rPr>
        <w:t xml:space="preserve">• </w:t>
      </w:r>
      <w:r>
        <w:t>Set expectations for both client and crew, including important conditions that will remain.</w:t>
      </w:r>
    </w:p>
    <w:p>
      <w:pPr>
        <w:pStyle w:val="Heading2"/>
        <w:keepNext/>
        <w:widowControl/>
      </w:pPr>
      <w:r>
        <w:t>Specific, not lengthy</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WRITING RULE</w:t>
            </w:r>
          </w:p>
          <w:p>
            <w:pPr>
              <w:pStyle w:val="Callout"/>
              <w:spacing w:after="0"/>
            </w:pPr>
            <w:r>
              <w:t>Complete does not mean verbose. Every word should explain why the work is being done, what the crew should do, or what the client should expect.</w:t>
            </w:r>
          </w:p>
        </w:tc>
      </w:tr>
    </w:tbl>
    <w:p>
      <w:pPr>
        <w:spacing w:after="0"/>
        <w:widowControl/>
      </w:pPr>
    </w:p>
    <w:p>
      <w:pPr>
        <w:widowControl/>
      </w:pPr>
      <w:r>
        <w:t>Use words for the prescription. Use measurements for tolerances. Use photographs for spatial information.</w:t>
      </w:r>
    </w:p>
    <w:p>
      <w:pPr>
        <w:pStyle w:val="Heading2"/>
        <w:keepNext/>
        <w:widowControl/>
      </w:pPr>
      <w:r>
        <w:t>Quantify clearance whenever practical</w:t>
      </w:r>
    </w:p>
    <w:tbl>
      <w:tblPr>
        <w:tblW w:type="auto" w:w="0"/>
        <w:jc w:val="center"/>
        <w:tblLayout w:type="fixed"/>
        <w:tblLook w:firstColumn="1" w:firstRow="1" w:lastColumn="0" w:lastRow="0" w:noHBand="0" w:noVBand="1" w:val="04A0"/>
      </w:tblPr>
      <w:tblGrid>
        <w:gridCol w:w="4104"/>
        <w:gridCol w:w="4104"/>
      </w:tblGrid>
      <w:tr>
        <w:tc>
          <w:tcPr>
            <w:tcW w:type="dxa" w:w="4104"/>
            <w:shd w:fill="2F4A3A"/>
          </w:tcPr>
          <w:p>
            <w:r>
              <w:rPr>
                <w:b/>
                <w:color w:val="FFFFFF"/>
              </w:rPr>
              <w:t>TYPE</w:t>
            </w:r>
          </w:p>
        </w:tc>
        <w:tc>
          <w:tcPr>
            <w:tcW w:type="dxa" w:w="4104"/>
            <w:shd w:fill="2F4A3A"/>
          </w:tcPr>
          <w:p>
            <w:r>
              <w:rPr>
                <w:b/>
                <w:color w:val="FFFFFF"/>
              </w:rPr>
              <w:t>EXAMPLE</w:t>
            </w:r>
          </w:p>
        </w:tc>
      </w:tr>
      <w:tr>
        <w:tc>
          <w:tcPr>
            <w:tcW w:type="dxa" w:w="2232"/>
            <w:shd w:fill="F7F8F4"/>
            <w:tcMar>
              <w:top w:w="80" w:type="dxa"/>
              <w:start w:w="100" w:type="dxa"/>
              <w:bottom w:w="80" w:type="dxa"/>
              <w:end w:w="100" w:type="dxa"/>
            </w:tcMar>
            <w:vAlign w:val="center"/>
          </w:tcPr>
          <w:p>
            <w:r>
              <w:t>Weak</w:t>
            </w:r>
          </w:p>
        </w:tc>
        <w:tc>
          <w:tcPr>
            <w:tcW w:type="dxa" w:w="5904"/>
            <w:tcMar>
              <w:top w:w="80" w:type="dxa"/>
              <w:start w:w="100" w:type="dxa"/>
              <w:bottom w:w="80" w:type="dxa"/>
              <w:end w:w="100" w:type="dxa"/>
            </w:tcMar>
            <w:vAlign w:val="center"/>
          </w:tcPr>
          <w:p>
            <w:r>
              <w:t>“Improve roof clearance.”</w:t>
            </w:r>
          </w:p>
        </w:tc>
      </w:tr>
      <w:tr>
        <w:tc>
          <w:tcPr>
            <w:tcW w:type="dxa" w:w="2232"/>
            <w:shd w:fill="F7F8F4"/>
            <w:tcMar>
              <w:top w:w="80" w:type="dxa"/>
              <w:start w:w="100" w:type="dxa"/>
              <w:bottom w:w="80" w:type="dxa"/>
              <w:end w:w="100" w:type="dxa"/>
            </w:tcMar>
            <w:vAlign w:val="center"/>
          </w:tcPr>
          <w:p>
            <w:r>
              <w:t>Better</w:t>
            </w:r>
          </w:p>
        </w:tc>
        <w:tc>
          <w:tcPr>
            <w:tcW w:type="dxa" w:w="5904"/>
            <w:tcMar>
              <w:top w:w="80" w:type="dxa"/>
              <w:start w:w="100" w:type="dxa"/>
              <w:bottom w:w="80" w:type="dxa"/>
              <w:end w:w="100" w:type="dxa"/>
            </w:tcMar>
            <w:vAlign w:val="center"/>
          </w:tcPr>
          <w:p>
            <w:r>
              <w:t>“Provide approximately 4–6 ft of vertical and lateral roof clearance.”</w:t>
            </w:r>
          </w:p>
        </w:tc>
      </w:tr>
      <w:tr>
        <w:tc>
          <w:tcPr>
            <w:tcW w:type="dxa" w:w="2232"/>
            <w:shd w:fill="F7F8F4"/>
            <w:tcMar>
              <w:top w:w="80" w:type="dxa"/>
              <w:start w:w="100" w:type="dxa"/>
              <w:bottom w:w="80" w:type="dxa"/>
              <w:end w:w="100" w:type="dxa"/>
            </w:tcMar>
            <w:vAlign w:val="center"/>
          </w:tcPr>
          <w:p>
            <w:r>
              <w:t>Hard threshold</w:t>
            </w:r>
          </w:p>
        </w:tc>
        <w:tc>
          <w:tcPr>
            <w:tcW w:type="dxa" w:w="5904"/>
            <w:tcMar>
              <w:top w:w="80" w:type="dxa"/>
              <w:start w:w="100" w:type="dxa"/>
              <w:bottom w:w="80" w:type="dxa"/>
              <w:end w:w="100" w:type="dxa"/>
            </w:tcMar>
            <w:vAlign w:val="center"/>
          </w:tcPr>
          <w:p>
            <w:r>
              <w:t>“Provide a minimum 4 ft of clearance from the roof.”</w:t>
            </w:r>
          </w:p>
        </w:tc>
      </w:tr>
      <w:tr>
        <w:tc>
          <w:tcPr>
            <w:tcW w:type="dxa" w:w="2232"/>
            <w:shd w:fill="F7F8F4"/>
            <w:tcMar>
              <w:top w:w="80" w:type="dxa"/>
              <w:start w:w="100" w:type="dxa"/>
              <w:bottom w:w="80" w:type="dxa"/>
              <w:end w:w="100" w:type="dxa"/>
            </w:tcMar>
            <w:vAlign w:val="center"/>
          </w:tcPr>
          <w:p>
            <w:r>
              <w:t>Architecture-limited</w:t>
            </w:r>
          </w:p>
        </w:tc>
        <w:tc>
          <w:tcPr>
            <w:tcW w:type="dxa" w:w="5904"/>
            <w:tcMar>
              <w:top w:w="80" w:type="dxa"/>
              <w:start w:w="100" w:type="dxa"/>
              <w:bottom w:w="80" w:type="dxa"/>
              <w:end w:w="100" w:type="dxa"/>
            </w:tcMar>
            <w:vAlign w:val="center"/>
          </w:tcPr>
          <w:p>
            <w:r>
              <w:t>“Reduce branches toward the roof to suitable laterals, maximizing clearance without removing major scaffold limbs; some live canopy will remain over the roof.”</w:t>
            </w:r>
          </w:p>
        </w:tc>
      </w:tr>
    </w:tbl>
    <w:p>
      <w:pPr>
        <w:widowControl/>
      </w:pPr>
      <w:r>
        <w:t>TTC standardizes the requirement to specify clearance, not a universal clearance distance. Tree age, species, architecture, health, pruning dose, site use, and client goals determine the appropriate tolerance.</w:t>
      </w:r>
    </w:p>
    <w:p>
      <w:pPr>
        <w:pStyle w:val="Heading2"/>
        <w:keepNext/>
        <w:widowControl/>
      </w:pPr>
      <w:r>
        <w:t>A300 alignment</w:t>
      </w:r>
    </w:p>
    <w:p>
      <w:pPr>
        <w:widowControl/>
      </w:pPr>
      <w:r>
        <w:t>A300-2023 moved away from a rigid canopy-percentage rule toward objective-based pruning. The appropriate pruning dose depends on the objective and tree factors. TTC estimators should avoid substituting a generic percentage for a prescription when cut location, cut size, cut type, number/range of cuts, clearance distance, or other measurable instructions would better communicate the work.</w:t>
      </w:r>
    </w:p>
    <w:p>
      <w:pPr>
        <w:pStyle w:val="Heading1"/>
        <w:keepNext/>
        <w:widowControl/>
      </w:pPr>
      <w:r>
        <w:t>7 | Writing Better Pruning Line Items</w:t>
      </w:r>
    </w:p>
    <w:p>
      <w:pPr>
        <w:pStyle w:val="Heading2"/>
        <w:keepNext/>
        <w:widowControl/>
      </w:pPr>
      <w:r>
        <w:t>Example: roof clearance</w:t>
      </w:r>
    </w:p>
    <w:tbl>
      <w:tblPr>
        <w:tblW w:type="auto" w:w="0"/>
        <w:jc w:val="center"/>
        <w:tblLayout w:type="autofit"/>
        <w:tblLook w:firstColumn="1" w:firstRow="1" w:lastColumn="0" w:lastRow="0" w:noHBand="0" w:noVBand="1" w:val="04A0"/>
      </w:tblPr>
      <w:tblGrid>
        <w:gridCol w:w="8208"/>
      </w:tblGrid>
      <w:tr>
        <w:tc>
          <w:tcPr>
            <w:tcW w:type="dxa" w:w="8208"/>
            <w:shd w:fill="F4E9E9"/>
            <w:tcMar>
              <w:top w:w="110" w:type="dxa"/>
              <w:start w:w="130" w:type="dxa"/>
              <w:bottom w:w="110" w:type="dxa"/>
              <w:end w:w="130" w:type="dxa"/>
            </w:tcMar>
            <w:vAlign w:val="center"/>
          </w:tcPr>
          <w:p>
            <w:r>
              <w:t>WEAK</w:t>
              <w:br/>
              <w:t>Pruning - Clearance</w:t>
              <w:br/>
              <w:br/>
              <w:t>Tree:  ash by the house</w:t>
              <w:br/>
              <w:t>Objective:  Improve roof clearance.</w:t>
              <w:br/>
              <w:t>Specifications:  Trim branches away from roof.</w:t>
            </w:r>
          </w:p>
        </w:tc>
      </w:tr>
    </w:tbl>
    <w:p>
      <w:pPr>
        <w:spacing w:after="0"/>
        <w:widowControl/>
      </w:pP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t>ACTUAL TTC EXAMPLE</w:t>
              <w:br/>
              <w:t>Pruning - General</w:t>
              <w:br/>
              <w:br/>
              <w:t>Tree:  Green ash (Fraxinus pennsylvanica) to the southeast of the home</w:t>
              <w:br/>
              <w:t>Objective:  Maintain health and aesthetics, improve structure and branch spacing and architecture, mitigate future risk of failure, and improve walking/mowing clearance.</w:t>
              <w:br/>
              <w:t>Specifications:  Employing a natural pruning system, use 2-3" diameter reduction cuts in the upper and outer crown on all co-dominant leaders and all first- or second-order branches with a branch aspect ratio greater than 1:3.  Additionally, remove branches greater than 1" in diameter that are crossing, broken, dead, or diseased, prune to achieve approximately 6-8' of roof clearance, and gently increase the separation between the ash and the adjacent spruce by removing contacting branches.</w:t>
            </w:r>
          </w:p>
        </w:tc>
      </w:tr>
    </w:tbl>
    <w:p>
      <w:pPr>
        <w:spacing w:after="0"/>
        <w:widowControl/>
      </w:pPr>
    </w:p>
    <w:p>
      <w:pPr>
        <w:pStyle w:val="Heading2"/>
        <w:keepNext/>
        <w:widowControl/>
      </w:pPr>
      <w:r>
        <w:t>Example: mowing + driveway clearance</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t>TTC-STYLE</w:t>
              <w:br/>
              <w:t>Pruning - General</w:t>
              <w:br/>
              <w:br/>
              <w:t>Tree:  Honey locust (Gleditsia triacanthos) in the front yard</w:t>
              <w:br/>
              <w:t>Objective:  Improve walking, mowing, and vehicle clearance while maintaining the tree's natural form and existing low canopy where practical.</w:t>
              <w:br/>
              <w:t>Specifications:  Employing a natural pruning system, raise the crown to approximately 7-8' above lawn areas and 8-10' above the driveway, remove dead branches greater than 1" in diameter, and selectively remove crossing or rubbing branches where appropriate. Maintain existing low canopy outside the designated clearance areas.</w:t>
            </w:r>
          </w:p>
        </w:tc>
      </w:tr>
    </w:tbl>
    <w:p>
      <w:pPr>
        <w:spacing w:after="0"/>
        <w:widowControl/>
      </w:pPr>
    </w:p>
    <w:p>
      <w:pPr>
        <w:pStyle w:val="Heading2"/>
        <w:keepNext/>
        <w:widowControl/>
      </w:pPr>
      <w:r>
        <w:t>Example: specific limbs</w:t>
      </w:r>
    </w:p>
    <w:p>
      <w:pPr>
        <w:widowControl/>
      </w:pPr>
      <w:r>
        <w:t>When the objective is spatially specific, use photos instead of a paragraph of compass directions: “Remove the two marked 4–5 in. limbs extending toward the garage; see attached photos. Remove associated deadwood within the work area. Remaining crown is not included.”</w:t>
      </w:r>
    </w:p>
    <w:p>
      <w:pPr>
        <w:pStyle w:val="Heading2"/>
        <w:keepNext/>
        <w:widowControl/>
      </w:pPr>
      <w:r>
        <w:t>Example: client asks to “thin it out”</w:t>
      </w:r>
    </w:p>
    <w:p>
      <w:pPr>
        <w:widowControl/>
      </w:pPr>
      <w:r>
        <w:t>Do not write a percentage until you understand the purpose. Determine whether the client wants light, wind response, aesthetics, structure, or view. Then prescribe cuts that address that objective. Avoid vague instructions such as “thin interior” that force the producer to invent the prescription in the tree.</w:t>
      </w:r>
    </w:p>
    <w:p>
      <w:pPr>
        <w:pStyle w:val="Heading2"/>
        <w:keepNext/>
        <w:widowControl/>
      </w:pPr>
      <w:r>
        <w:t>Final line-item test</w:t>
      </w:r>
    </w:p>
    <w:p>
      <w:pPr>
        <w:pStyle w:val="Checklist"/>
        <w:keepNext/>
        <w:widowControl/>
      </w:pPr>
      <w:r>
        <w:t>☐ Is the tree identified by common name, scientific name, and an unambiguous location?</w:t>
      </w:r>
    </w:p>
    <w:p>
      <w:pPr>
        <w:pStyle w:val="Checklist"/>
        <w:ind w:left="259" w:hanging="259"/>
        <w:widowControl/>
      </w:pPr>
      <w:r>
        <w:t xml:space="preserve">☐ </w:t>
      </w:r>
      <w:r>
        <w:t>Does the client understand why we are doing this and what the result will be?</w:t>
      </w:r>
    </w:p>
    <w:p>
      <w:pPr>
        <w:pStyle w:val="Checklist"/>
        <w:ind w:left="259" w:hanging="259"/>
        <w:widowControl/>
      </w:pPr>
      <w:r>
        <w:t xml:space="preserve">☐ </w:t>
      </w:r>
      <w:r>
        <w:t>Does the crew know exactly what to do without calling me?</w:t>
      </w:r>
    </w:p>
    <w:p>
      <w:pPr>
        <w:pStyle w:val="Checklist"/>
        <w:ind w:left="259" w:hanging="259"/>
        <w:widowControl/>
      </w:pPr>
      <w:r>
        <w:t xml:space="preserve">☐ </w:t>
      </w:r>
      <w:r>
        <w:t>Have I quantified clearance, dimensions, branch sizes, areas, or tolerances wherever useful?</w:t>
      </w:r>
    </w:p>
    <w:p>
      <w:pPr>
        <w:pStyle w:val="Checklist"/>
        <w:ind w:left="259" w:hanging="259"/>
        <w:widowControl/>
      </w:pPr>
      <w:r>
        <w:t xml:space="preserve">☐ </w:t>
      </w:r>
      <w:r>
        <w:t>Do the photos eliminate spatial ambiguity?</w:t>
      </w:r>
    </w:p>
    <w:p>
      <w:pPr>
        <w:pStyle w:val="Checklist"/>
        <w:ind w:left="259" w:hanging="259"/>
        <w:widowControl/>
      </w:pPr>
      <w:r>
        <w:t xml:space="preserve">☐ </w:t>
      </w:r>
      <w:r>
        <w:t>Have I stated an important limitation or remaining condition?</w:t>
      </w:r>
    </w:p>
    <w:p>
      <w:pPr>
        <w:pStyle w:val="Checklist"/>
        <w:ind w:left="259" w:hanging="259"/>
        <w:widowControl/>
      </w:pPr>
      <w:r>
        <w:t xml:space="preserve">☐ </w:t>
      </w:r>
      <w:r>
        <w:t>Can I delete words without losing useful information?</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PASS/FAIL QUESTION</w:t>
            </w:r>
          </w:p>
          <w:p>
            <w:pPr>
              <w:pStyle w:val="Callout"/>
              <w:spacing w:after="0"/>
            </w:pPr>
            <w:r>
              <w:t>Could a qualified TTC crew leader who was not present at the estimate perform this work correctly using only the proposal, photographs, and normal TTC SOPs? If not, the specification is not finished.</w:t>
            </w:r>
          </w:p>
        </w:tc>
      </w:tr>
    </w:tbl>
    <w:p>
      <w:pPr>
        <w:spacing w:after="0"/>
        <w:widowControl/>
      </w:pPr>
    </w:p>
    <w:p>
      <w:pPr>
        <w:pStyle w:val="Heading1"/>
        <w:keepNext/>
        <w:widowControl/>
      </w:pPr>
      <w:r>
        <w:t>8 | Production Estimating</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TTC STANDARD</w:t>
            </w:r>
          </w:p>
          <w:p>
            <w:pPr>
              <w:pStyle w:val="Callout"/>
              <w:spacing w:after="0"/>
            </w:pPr>
            <w:r>
              <w:t>Estimate the job, not just the tree. Know how TTC is reasonably expected to perform the work before pricing it.</w:t>
            </w:r>
          </w:p>
        </w:tc>
      </w:tr>
    </w:tbl>
    <w:p>
      <w:pPr>
        <w:spacing w:after="0"/>
        <w:widowControl/>
      </w:pPr>
    </w:p>
    <w:p>
      <w:pPr>
        <w:pStyle w:val="Heading2"/>
        <w:keepNext/>
        <w:widowControl/>
      </w:pPr>
      <w:r>
        <w:t>Production scan</w:t>
      </w:r>
    </w:p>
    <w:p>
      <w:pPr>
        <w:pStyle w:val="Checklist"/>
        <w:ind w:left="0" w:hanging="202"/>
        <w:widowControl/>
      </w:pPr>
      <w:r>
        <w:rPr>
          <w:b/>
        </w:rPr>
        <w:t xml:space="preserve">• </w:t>
      </w:r>
      <w:r>
        <w:t>Crew size and expected production time.</w:t>
      </w:r>
    </w:p>
    <w:p>
      <w:pPr>
        <w:pStyle w:val="Checklist"/>
        <w:ind w:left="0" w:hanging="202"/>
        <w:widowControl/>
      </w:pPr>
      <w:r>
        <w:rPr>
          <w:b/>
        </w:rPr>
        <w:t xml:space="preserve">• </w:t>
      </w:r>
      <w:r>
        <w:t>Climbing, bucket, spider lift, crane, rigging, or ground-based method.</w:t>
      </w:r>
    </w:p>
    <w:p>
      <w:pPr>
        <w:pStyle w:val="Checklist"/>
        <w:ind w:left="0" w:hanging="202"/>
        <w:widowControl/>
      </w:pPr>
      <w:r>
        <w:rPr>
          <w:b/>
        </w:rPr>
        <w:t xml:space="preserve">• </w:t>
      </w:r>
      <w:r>
        <w:t>Tie-in/rigging possibilities and condition of the tree if relevant to safe access.</w:t>
      </w:r>
    </w:p>
    <w:p>
      <w:pPr>
        <w:pStyle w:val="Checklist"/>
        <w:ind w:left="0" w:hanging="202"/>
        <w:widowControl/>
      </w:pPr>
      <w:r>
        <w:rPr>
          <w:b/>
        </w:rPr>
        <w:t xml:space="preserve">• </w:t>
      </w:r>
      <w:r>
        <w:t>Truck/chipper/crane setup and turnaround.</w:t>
      </w:r>
    </w:p>
    <w:p>
      <w:pPr>
        <w:pStyle w:val="Checklist"/>
        <w:ind w:left="0" w:hanging="202"/>
        <w:widowControl/>
      </w:pPr>
      <w:r>
        <w:rPr>
          <w:b/>
        </w:rPr>
        <w:t xml:space="preserve">• </w:t>
      </w:r>
      <w:r>
        <w:t>Mini-loader access, gate width, slopes, soft turf, irrigation, and landscape protection.</w:t>
      </w:r>
    </w:p>
    <w:p>
      <w:pPr>
        <w:pStyle w:val="Checklist"/>
        <w:ind w:left="0" w:hanging="202"/>
        <w:widowControl/>
      </w:pPr>
      <w:r>
        <w:rPr>
          <w:b/>
        </w:rPr>
        <w:t xml:space="preserve">• </w:t>
      </w:r>
      <w:r>
        <w:t>Structures, fences, roofs, patios, vehicles, play equipment, neighboring property, and other targets.</w:t>
      </w:r>
    </w:p>
    <w:p>
      <w:pPr>
        <w:pStyle w:val="Checklist"/>
        <w:ind w:left="0" w:hanging="202"/>
        <w:widowControl/>
      </w:pPr>
      <w:r>
        <w:rPr>
          <w:b/>
        </w:rPr>
        <w:t xml:space="preserve">• </w:t>
      </w:r>
      <w:r>
        <w:t>Overhead and underground utilities; stump-grinding limitations.</w:t>
      </w:r>
    </w:p>
    <w:p>
      <w:pPr>
        <w:pStyle w:val="Checklist"/>
        <w:ind w:left="0" w:hanging="202"/>
        <w:widowControl/>
      </w:pPr>
      <w:r>
        <w:rPr>
          <w:b/>
        </w:rPr>
        <w:t xml:space="preserve">• </w:t>
      </w:r>
      <w:r>
        <w:t>Traffic and pedestrian control.</w:t>
      </w:r>
    </w:p>
    <w:p>
      <w:pPr>
        <w:pStyle w:val="Checklist"/>
        <w:ind w:left="0" w:hanging="202"/>
        <w:widowControl/>
      </w:pPr>
      <w:r>
        <w:rPr>
          <w:b/>
        </w:rPr>
        <w:t xml:space="preserve">• </w:t>
      </w:r>
      <w:r>
        <w:t>Material handling: brush, logs, chips, stump chips, hauling route, client-kept wood.</w:t>
      </w:r>
    </w:p>
    <w:p>
      <w:pPr>
        <w:pStyle w:val="Checklist"/>
        <w:ind w:left="0" w:hanging="202"/>
        <w:widowControl/>
      </w:pPr>
      <w:r>
        <w:rPr>
          <w:b/>
        </w:rPr>
        <w:t xml:space="preserve">• </w:t>
      </w:r>
      <w:r>
        <w:t>Special rentals, subcontractors, permits, utility coordination, or client preparation.</w:t>
      </w:r>
    </w:p>
    <w:p>
      <w:pPr>
        <w:pStyle w:val="Heading2"/>
        <w:keepNext/>
        <w:widowControl/>
      </w:pPr>
      <w:r>
        <w:t>Equipment is an estimating decision</w:t>
      </w:r>
    </w:p>
    <w:p>
      <w:pPr>
        <w:widowControl/>
      </w:pPr>
      <w:r>
        <w:t>Do not ask only, “Can we do it?” Compare reasonable methods based on setup, production time, targets, access, tree condition, rigging points, lawn impact, and special cost. The safest and most efficient method may include rental or subcontracted equipment.</w:t>
      </w:r>
    </w:p>
    <w:p>
      <w:pPr>
        <w:pStyle w:val="Heading2"/>
        <w:keepNext/>
        <w:widowControl/>
      </w:pPr>
      <w:r>
        <w:t>Document assumptions</w:t>
      </w:r>
    </w:p>
    <w:p>
      <w:pPr>
        <w:widowControl/>
      </w:pPr>
      <w:r>
        <w:t>If price depends on access, client preparation, neighbor permission, movable obstacles, utility conditions, lawn dryness, or another assumption, put that assumption in the notes/proposal. An unstated assumption is a future argument.</w:t>
      </w:r>
    </w:p>
    <w:p>
      <w:pPr>
        <w:pStyle w:val="Heading2"/>
        <w:keepNext/>
        <w:widowControl/>
      </w:pPr>
      <w:r>
        <w:t>Escalate instead of guessing</w:t>
      </w:r>
    </w:p>
    <w:p>
      <w:pPr>
        <w:widowControl/>
      </w:pPr>
      <w:r>
        <w:t>Large-dollar work, crane/complex rigging, uncertain methodology, advanced tree risk, uncertain diagnosis, unusual utilities, legal/ownership conflict, or any job the estimator cannot confidently translate into crew/time/equipment requirements must be reviewed according to the estimator’s authority tier.</w:t>
      </w:r>
    </w:p>
    <w:p>
      <w:pPr>
        <w:pStyle w:val="Heading1"/>
        <w:keepNext/>
        <w:widowControl/>
      </w:pPr>
      <w:r>
        <w:t>9 | PHC Discovery &amp; Ethical Upselling</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GOAL</w:t>
            </w:r>
          </w:p>
          <w:p>
            <w:pPr>
              <w:pStyle w:val="Callout"/>
              <w:spacing w:after="0"/>
            </w:pPr>
            <w:r>
              <w:t>Every appropriate property receives arborist attention. Every legitimate PHC opportunity gets presented. Unnecessary treatment stays unsold.</w:t>
            </w:r>
          </w:p>
        </w:tc>
      </w:tr>
    </w:tbl>
    <w:p>
      <w:pPr>
        <w:spacing w:after="0"/>
        <w:widowControl/>
      </w:pPr>
    </w:p>
    <w:p>
      <w:pPr>
        <w:pStyle w:val="Heading2"/>
        <w:keepNext/>
        <w:widowControl/>
      </w:pPr>
      <w:r>
        <w:t>PHC discovery happens during the walkthrough</w:t>
      </w:r>
    </w:p>
    <w:p>
      <w:pPr>
        <w:widowControl/>
      </w:pPr>
      <w:r>
        <w:t>Do not wait for a formal “PHC scan” at the end. Continuous Property Assessment should reveal health opportunities as the estimator moves through the property. The client-facing statement can occur at any time; observation begins immediately.</w:t>
      </w:r>
    </w:p>
    <w:p>
      <w:pPr>
        <w:pStyle w:val="Heading2"/>
        <w:keepNext/>
        <w:widowControl/>
      </w:pPr>
      <w:r>
        <w:t>Do not depend on the client to identify symptoms</w:t>
      </w:r>
    </w:p>
    <w:p>
      <w:pPr>
        <w:widowControl/>
      </w:pPr>
      <w:r>
        <w:t>“Anything else you want me to look at?” is a good question, but it is not a substitute for arborist observation. Clients often recognize dead branches; they may not recognize early chlorosis, borer evidence, scale, root-flare problems, irrigation stress, or a preventive-treatment opportunity.</w:t>
      </w:r>
    </w:p>
    <w:p>
      <w:pPr>
        <w:pStyle w:val="Heading2"/>
        <w:keepNext/>
        <w:widowControl/>
      </w:pPr>
      <w:r>
        <w:t>Present PHC naturally</w:t>
      </w:r>
    </w:p>
    <w:p>
      <w:pPr>
        <w:widowControl/>
      </w:pPr>
      <w:r>
        <w:t>Use Observation → Significance → Recommendation → Expectation. Show the client the symptom when practical. If treatment is warranted, recommend it clearly and add it as an optional line item when appropriate.</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EXAMPLE</w:t>
            </w:r>
          </w:p>
          <w:p>
            <w:pPr>
              <w:pStyle w:val="Callout"/>
              <w:spacing w:after="0"/>
            </w:pPr>
            <w:r>
              <w:t>“This is not why you called us, but I am seeing chlorosis in this maple. It is worth addressing, so I am going to include the treatment as an optional item. The goal is to improve future foliage and vigor; it will not reverse damage already present on this year’s leaves.”</w:t>
            </w:r>
          </w:p>
        </w:tc>
      </w:tr>
    </w:tbl>
    <w:p>
      <w:pPr>
        <w:spacing w:after="0"/>
        <w:widowControl/>
      </w:pPr>
    </w:p>
    <w:p>
      <w:pPr>
        <w:pStyle w:val="Heading2"/>
        <w:keepNext/>
        <w:widowControl/>
      </w:pPr>
      <w:r>
        <w:t>Preventive vs corrective</w:t>
      </w:r>
    </w:p>
    <w:p>
      <w:pPr>
        <w:widowControl/>
      </w:pPr>
      <w:r>
        <w:t>A healthy-looking tree may still be a rational preventive-treatment candidate when the pest exposure, tree value, consequence of loss, and treatment evidence justify it. Conversely, visible symptoms do not automatically justify treatment.</w:t>
      </w:r>
    </w:p>
    <w:p>
      <w:pPr>
        <w:pStyle w:val="Heading2"/>
        <w:keepNext/>
        <w:widowControl/>
      </w:pPr>
      <w:r>
        <w:t>PHC disposition</w:t>
      </w:r>
    </w:p>
    <w:p>
      <w:pPr>
        <w:pStyle w:val="Checklist"/>
        <w:ind w:left="259" w:hanging="259"/>
        <w:widowControl/>
      </w:pPr>
      <w:r>
        <w:t xml:space="preserve">☐ </w:t>
      </w:r>
      <w:r>
        <w:t>Treatment recommended.</w:t>
      </w:r>
    </w:p>
    <w:p>
      <w:pPr>
        <w:pStyle w:val="Checklist"/>
        <w:ind w:left="259" w:hanging="259"/>
        <w:widowControl/>
      </w:pPr>
      <w:r>
        <w:t xml:space="preserve">☐ </w:t>
      </w:r>
      <w:r>
        <w:t>Monitor/recheck.</w:t>
      </w:r>
    </w:p>
    <w:p>
      <w:pPr>
        <w:pStyle w:val="Checklist"/>
        <w:ind w:left="259" w:hanging="259"/>
        <w:widowControl/>
      </w:pPr>
      <w:r>
        <w:t xml:space="preserve">☐ </w:t>
      </w:r>
      <w:r>
        <w:t>Cultural correction only.</w:t>
      </w:r>
    </w:p>
    <w:p>
      <w:pPr>
        <w:pStyle w:val="Checklist"/>
        <w:ind w:left="259" w:hanging="259"/>
        <w:widowControl/>
      </w:pPr>
      <w:r>
        <w:t xml:space="preserve">☐ </w:t>
      </w:r>
      <w:r>
        <w:t>Further diagnosis/research required.</w:t>
      </w:r>
    </w:p>
    <w:p>
      <w:pPr>
        <w:pStyle w:val="Checklist"/>
        <w:ind w:left="259" w:hanging="259"/>
        <w:widowControl/>
      </w:pPr>
      <w:r>
        <w:t xml:space="preserve">☐ </w:t>
      </w:r>
      <w:r>
        <w:t>No PHC action warranted.</w:t>
      </w:r>
    </w:p>
    <w:p>
      <w:pPr>
        <w:widowControl/>
      </w:pPr>
      <w:r>
        <w:t>Do not guess on product, timing, dose, label restrictions, edible-crop implications, or diagnosis. Verify current TTC PHC protocols and product labels or escalate.</w:t>
      </w:r>
    </w:p>
    <w:p>
      <w:pPr>
        <w:pStyle w:val="Heading1"/>
        <w:keepNext/>
        <w:widowControl/>
      </w:pPr>
      <w:r>
        <w:t>10 | Options, Pricing &amp; the Close</w:t>
      </w:r>
    </w:p>
    <w:p>
      <w:pPr>
        <w:pStyle w:val="Heading2"/>
        <w:keepNext/>
        <w:widowControl/>
      </w:pPr>
      <w:r>
        <w:t>Use options when real choices exist</w:t>
      </w:r>
    </w:p>
    <w:p>
      <w:pPr>
        <w:widowControl/>
      </w:pPr>
      <w:r>
        <w:t>A-la-carte line items help clients prioritize without forcing TTC to discount good work. Useful structures include clearance-only vs. general prune; prune vs. remove; removal vs. stump grinding; leave wood/chips vs. haul; treatment vs. monitor; phased work; and optional PHC discovered during the visit.</w:t>
      </w:r>
    </w:p>
    <w:p>
      <w:pPr>
        <w:pStyle w:val="Heading2"/>
        <w:keepNext/>
        <w:widowControl/>
      </w:pPr>
      <w:r>
        <w:t>Do not manufacture options</w:t>
      </w:r>
    </w:p>
    <w:p>
      <w:pPr>
        <w:widowControl/>
      </w:pPr>
      <w:r>
        <w:t>If there is one clearly appropriate recommendation, say so. “Optional” should not become a way to avoid professional judgment.</w:t>
      </w:r>
    </w:p>
    <w:p>
      <w:pPr>
        <w:pStyle w:val="Heading2"/>
        <w:keepNext/>
        <w:widowControl/>
      </w:pPr>
      <w:r>
        <w:t>Price after the visit; present it confidently</w:t>
      </w:r>
    </w:p>
    <w:p>
      <w:pPr>
        <w:widowControl/>
      </w:pPr>
      <w:r>
        <w:t>The appointment is for understanding and prescribing; post-visit review is for pricing and finalizing. Leave the client understanding the recommendation, scope, expected result, limitations, and options; price should usually be the only significant new information in the proposal. Send it within 24 hours whenever practical. If price is questioned, understand whether the issue is budget, priority, scope, timing, or value before changing anything.</w:t>
      </w:r>
    </w:p>
    <w:p>
      <w:pPr>
        <w:pStyle w:val="Heading2"/>
        <w:keepNext/>
        <w:widowControl/>
      </w:pPr>
      <w:r>
        <w:t>Close the appointment</w:t>
      </w:r>
    </w:p>
    <w:p>
      <w:pPr>
        <w:pStyle w:val="Checklist"/>
        <w:ind w:left="259" w:hanging="259"/>
        <w:widowControl/>
      </w:pPr>
      <w:r>
        <w:t xml:space="preserve">☐ </w:t>
      </w:r>
      <w:r>
        <w:t>Confirm which items the client wants quoted and which are alternatives.</w:t>
      </w:r>
    </w:p>
    <w:p>
      <w:pPr>
        <w:pStyle w:val="Checklist"/>
        <w:ind w:left="259" w:hanging="259"/>
        <w:widowControl/>
      </w:pPr>
      <w:r>
        <w:t xml:space="preserve">☐ </w:t>
      </w:r>
      <w:r>
        <w:t>Confirm measurements and photos are complete.</w:t>
      </w:r>
    </w:p>
    <w:p>
      <w:pPr>
        <w:pStyle w:val="Checklist"/>
        <w:ind w:left="259" w:hanging="259"/>
        <w:widowControl/>
      </w:pPr>
      <w:r>
        <w:t xml:space="preserve">☐ </w:t>
      </w:r>
      <w:r>
        <w:t>Confirm access assumptions or client preparation.</w:t>
      </w:r>
    </w:p>
    <w:p>
      <w:pPr>
        <w:pStyle w:val="Checklist"/>
        <w:ind w:left="259" w:hanging="259"/>
        <w:widowControl/>
      </w:pPr>
      <w:r>
        <w:t xml:space="preserve">☐ </w:t>
      </w:r>
      <w:r>
        <w:t>Identify anything requiring research or senior review before the proposal is final.</w:t>
      </w:r>
    </w:p>
    <w:p>
      <w:pPr>
        <w:pStyle w:val="Checklist"/>
        <w:ind w:left="259" w:hanging="259"/>
        <w:widowControl/>
      </w:pPr>
      <w:r>
        <w:t xml:space="preserve">☐ </w:t>
      </w:r>
      <w:r>
        <w:t>Verify email/phone/contact preference.</w:t>
      </w:r>
    </w:p>
    <w:p>
      <w:pPr>
        <w:pStyle w:val="Checklist"/>
        <w:ind w:left="259" w:hanging="259"/>
        <w:widowControl/>
      </w:pPr>
      <w:r>
        <w:t>☐ Explain that the written proposal will normally follow within 24 hours; give realistic production lead-time expectations.</w:t>
      </w:r>
      <w:r/>
    </w:p>
    <w:p>
      <w:pPr>
        <w:pStyle w:val="Checklist"/>
        <w:ind w:left="259" w:hanging="259"/>
        <w:widowControl/>
      </w:pPr>
      <w:r>
        <w:t xml:space="preserve">☐ </w:t>
      </w:r>
      <w:r>
        <w:t>Explain how approval and scheduling work.</w:t>
      </w:r>
    </w:p>
    <w:p>
      <w:pPr>
        <w:pStyle w:val="Checklist"/>
        <w:ind w:left="259" w:hanging="259"/>
        <w:widowControl/>
      </w:pPr>
      <w:r>
        <w:t xml:space="preserve">☐ </w:t>
      </w:r>
      <w:r>
        <w:t>On complex visits, briefly summarize the plan back to the client.</w:t>
      </w:r>
    </w:p>
    <w:p>
      <w:pPr>
        <w:widowControl/>
      </w:pPr>
      <w:r>
        <w:t>The estimator may ask, “Anything else you would like me to look at?” The question is useful, but it comes after an appointment in which the estimator has already been observing independently.</w:t>
      </w:r>
    </w:p>
    <w:p>
      <w:pPr>
        <w:pStyle w:val="Heading1"/>
        <w:keepNext/>
        <w:widowControl/>
      </w:pPr>
      <w:r>
        <w:t>11 | Writing the Proposal</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THE PROPOSAL HAS FIVE AUDIENCES</w:t>
            </w:r>
          </w:p>
          <w:p>
            <w:pPr>
              <w:pStyle w:val="Callout"/>
              <w:spacing w:after="0"/>
            </w:pPr>
            <w:r>
              <w:t>The client, the production crew, the office, the future estimator, and TTC if the job is questioned later.</w:t>
            </w:r>
          </w:p>
        </w:tc>
      </w:tr>
    </w:tbl>
    <w:p>
      <w:pPr>
        <w:spacing w:after="0"/>
        <w:widowControl/>
      </w:pPr>
    </w:p>
    <w:p>
      <w:pPr>
        <w:pStyle w:val="Heading2"/>
        <w:keepNext/>
        <w:widowControl/>
      </w:pPr>
      <w:r>
        <w:t>Line-item anatomy</w:t>
      </w:r>
    </w:p>
    <w:p>
      <w:pPr>
        <w:pStyle w:val="Checklist"/>
        <w:ind w:left="0" w:hanging="202"/>
        <w:widowControl/>
      </w:pPr>
      <w:r>
        <w:t>• Tree: identify the tree(s) by common name and scientific name, and state the location unambiguously. TTC requires the scientific name in pruning line items so the plant is identified precisely, consistent with the Prescriptive Tree Pruning companion training framework used to implement ANSI A300 pruning standards.</w:t>
      </w:r>
    </w:p>
    <w:p>
      <w:pPr>
        <w:pStyle w:val="Checklist"/>
        <w:ind w:left="0" w:hanging="202"/>
        <w:widowControl/>
      </w:pPr>
      <w:r>
        <w:rPr>
          <w:b/>
        </w:rPr>
        <w:t xml:space="preserve">• </w:t>
      </w:r>
      <w:r>
        <w:t>Include only the existing condition necessary to explain the prescription.</w:t>
      </w:r>
    </w:p>
    <w:p>
      <w:pPr>
        <w:pStyle w:val="Checklist"/>
        <w:ind w:left="0" w:hanging="202"/>
        <w:widowControl/>
      </w:pPr>
      <w:r>
        <w:t>• Objective: state the intended result in client-readable language.</w:t>
      </w:r>
    </w:p>
    <w:p>
      <w:pPr>
        <w:pStyle w:val="Checklist"/>
        <w:ind w:left="0" w:hanging="202"/>
        <w:widowControl/>
      </w:pPr>
      <w:r>
        <w:t>• Specifications: prescribe measurable work—clearance, branch size, work area, cut type/location where useful, deadwood threshold, treatment, stump scope, etc.</w:t>
      </w:r>
    </w:p>
    <w:p>
      <w:pPr>
        <w:pStyle w:val="Checklist"/>
        <w:ind w:left="0" w:hanging="202"/>
        <w:widowControl/>
      </w:pPr>
      <w:r>
        <w:rPr>
          <w:b/>
        </w:rPr>
        <w:t xml:space="preserve">• </w:t>
      </w:r>
      <w:r>
        <w:t>State important remaining conditions or limitations.</w:t>
      </w:r>
    </w:p>
    <w:p>
      <w:pPr>
        <w:pStyle w:val="Checklist"/>
        <w:ind w:left="0" w:hanging="202"/>
        <w:widowControl/>
      </w:pPr>
      <w:r>
        <w:rPr>
          <w:b/>
        </w:rPr>
        <w:t xml:space="preserve">• </w:t>
      </w:r>
      <w:r>
        <w:t>State cleanup/access/utility assumptions where they materially affect the product.</w:t>
      </w:r>
    </w:p>
    <w:p>
      <w:pPr>
        <w:pStyle w:val="Checklist"/>
        <w:ind w:left="0" w:hanging="202"/>
        <w:widowControl/>
      </w:pPr>
      <w:r>
        <w:rPr>
          <w:b/>
        </w:rPr>
        <w:t xml:space="preserve">• </w:t>
      </w:r>
      <w:r>
        <w:t>Attach useful photos and markups.</w:t>
      </w:r>
    </w:p>
    <w:p>
      <w:pPr>
        <w:pStyle w:val="Heading2"/>
        <w:keepNext/>
        <w:widowControl/>
      </w:pPr>
      <w:r>
        <w:t>Keep it succinct</w:t>
      </w:r>
    </w:p>
    <w:p>
      <w:pPr>
        <w:widowControl/>
      </w:pPr>
      <w:r>
        <w:t>Do not turn the proposal into the transcript. The estimator’s conversation can be detailed; the written line item should be the shortest complete prescription. Avoid filler, duplicated explanations, and technical vocabulary that does not improve production or client understanding.</w:t>
      </w:r>
    </w:p>
    <w:p>
      <w:pPr>
        <w:pStyle w:val="Heading2"/>
        <w:keepNext/>
        <w:widowControl/>
      </w:pPr>
      <w:r>
        <w:t>Avoid vague verbs</w:t>
      </w:r>
    </w:p>
    <w:tbl>
      <w:tblPr>
        <w:tblW w:type="auto" w:w="0"/>
        <w:jc w:val="center"/>
        <w:tblLayout w:type="fixed"/>
        <w:tblLook w:firstColumn="1" w:firstRow="1" w:lastColumn="0" w:lastRow="0" w:noHBand="0" w:noVBand="1" w:val="04A0"/>
      </w:tblPr>
      <w:tblGrid>
        <w:gridCol w:w="4104"/>
        <w:gridCol w:w="4104"/>
      </w:tblGrid>
      <w:tr>
        <w:tc>
          <w:tcPr>
            <w:tcW w:type="dxa" w:w="4104"/>
            <w:shd w:fill="2F4A3A"/>
          </w:tcPr>
          <w:p>
            <w:r>
              <w:rPr>
                <w:b/>
                <w:color w:val="FFFFFF"/>
              </w:rPr>
            </w:r>
          </w:p>
        </w:tc>
        <w:tc>
          <w:tcPr>
            <w:tcW w:type="dxa" w:w="4104"/>
            <w:shd w:fill="2F4A3A"/>
          </w:tcPr>
          <w:p>
            <w:r>
              <w:rPr>
                <w:b/>
                <w:color w:val="FFFFFF"/>
              </w:rPr>
              <w:t>LANGUAGE</w:t>
            </w:r>
          </w:p>
        </w:tc>
      </w:tr>
      <w:tr>
        <w:tc>
          <w:tcPr>
            <w:tcW w:type="dxa" w:w="2232"/>
            <w:shd w:fill="F7F8F4"/>
            <w:tcMar>
              <w:top w:w="80" w:type="dxa"/>
              <w:start w:w="100" w:type="dxa"/>
              <w:bottom w:w="80" w:type="dxa"/>
              <w:end w:w="100" w:type="dxa"/>
            </w:tcMar>
            <w:vAlign w:val="center"/>
          </w:tcPr>
          <w:p>
            <w:r>
              <w:t>Avoid</w:t>
            </w:r>
          </w:p>
        </w:tc>
        <w:tc>
          <w:tcPr>
            <w:tcW w:type="dxa" w:w="5904"/>
            <w:tcMar>
              <w:top w:w="80" w:type="dxa"/>
              <w:start w:w="100" w:type="dxa"/>
              <w:bottom w:w="80" w:type="dxa"/>
              <w:end w:w="100" w:type="dxa"/>
            </w:tcMar>
            <w:vAlign w:val="center"/>
          </w:tcPr>
          <w:p>
            <w:r>
              <w:t>trim, clean up, improve clearance, shape up, thin it out, take weight off</w:t>
            </w:r>
          </w:p>
        </w:tc>
      </w:tr>
      <w:tr>
        <w:tc>
          <w:tcPr>
            <w:tcW w:type="dxa" w:w="2232"/>
            <w:shd w:fill="F7F8F4"/>
            <w:tcMar>
              <w:top w:w="80" w:type="dxa"/>
              <w:start w:w="100" w:type="dxa"/>
              <w:bottom w:w="80" w:type="dxa"/>
              <w:end w:w="100" w:type="dxa"/>
            </w:tcMar>
            <w:vAlign w:val="center"/>
          </w:tcPr>
          <w:p>
            <w:r>
              <w:t>Prefer</w:t>
            </w:r>
          </w:p>
        </w:tc>
        <w:tc>
          <w:tcPr>
            <w:tcW w:type="dxa" w:w="5904"/>
            <w:tcMar>
              <w:top w:w="80" w:type="dxa"/>
              <w:start w:w="100" w:type="dxa"/>
              <w:bottom w:w="80" w:type="dxa"/>
              <w:end w:w="100" w:type="dxa"/>
            </w:tcMar>
            <w:vAlign w:val="center"/>
          </w:tcPr>
          <w:p>
            <w:r>
              <w:t>raise to X ft; reduce marked limb; remove deadwood X in.+; provide X–Y ft clearance</w:t>
            </w:r>
          </w:p>
        </w:tc>
      </w:tr>
    </w:tbl>
    <w:p>
      <w:pPr>
        <w:pStyle w:val="Heading2"/>
        <w:keepNext/>
        <w:widowControl/>
      </w:pPr>
      <w:r>
        <w:t>Historical record</w:t>
      </w:r>
    </w:p>
    <w:p>
      <w:pPr>
        <w:widowControl/>
      </w:pPr>
      <w:r>
        <w:t>A good proposal should still make sense years later. It should document why the work was recommended, what outcome was intended, and what TTC actually promised.</w:t>
      </w:r>
    </w:p>
    <w:p>
      <w:pPr>
        <w:pStyle w:val="Heading1"/>
        <w:keepNext/>
        <w:widowControl/>
      </w:pPr>
      <w:r>
        <w:t>12 | Special Situations</w:t>
      </w:r>
    </w:p>
    <w:p>
      <w:pPr>
        <w:pStyle w:val="Heading2"/>
        <w:keepNext/>
        <w:widowControl/>
      </w:pPr>
      <w:r>
        <w:t>Client absent</w:t>
      </w:r>
    </w:p>
    <w:p>
      <w:pPr>
        <w:widowControl/>
      </w:pPr>
      <w:r>
        <w:t>Use office notes, prior records, photos, and site observations. Photograph thoroughly. Call/text when useful. Do not invent the client’s objective when it materially affects the prescription. If missing history changes diagnosis or scope, defer the recommendation until the information is obtained.</w:t>
      </w:r>
    </w:p>
    <w:p>
      <w:pPr>
        <w:pStyle w:val="Heading2"/>
        <w:keepNext/>
        <w:widowControl/>
      </w:pPr>
      <w:r>
        <w:t>Neighbor/property-line work</w:t>
      </w:r>
    </w:p>
    <w:p>
      <w:pPr>
        <w:widowControl/>
      </w:pPr>
      <w:r>
        <w:t>Define exactly which tree/branches are included and what will remain. Confirm ownership/permission requirements according to TTC policy. Do not give legal conclusions; escalate disputes or uncertain authority.</w:t>
      </w:r>
    </w:p>
    <w:p>
      <w:pPr>
        <w:pStyle w:val="Heading2"/>
        <w:keepNext/>
        <w:widowControl/>
      </w:pPr>
      <w:r>
        <w:t>Commercial/institutional properties</w:t>
      </w:r>
    </w:p>
    <w:p>
      <w:pPr>
        <w:widowControl/>
      </w:pPr>
      <w:r>
        <w:t>Group trees only when common/scientific name, location, objective, and specifications are genuinely shared. Use counts and geographic anchors. Large groups still require production-ready tolerances. Document parking-lot, pedestrian, lighting, building, and access objectives clearly.</w:t>
      </w:r>
    </w:p>
    <w:p>
      <w:pPr>
        <w:pStyle w:val="Heading2"/>
        <w:keepNext/>
        <w:widowControl/>
      </w:pPr>
      <w:r>
        <w:t>Advanced risk</w:t>
      </w:r>
    </w:p>
    <w:p>
      <w:pPr>
        <w:widowControl/>
      </w:pPr>
      <w:r>
        <w:t>Do not turn a routine estimate into an unsupported advanced risk assessment. State the level of observation performed, describe observed conditions and targets, and escalate when additional testing or formal assessment is appropriate.</w:t>
      </w:r>
    </w:p>
    <w:p>
      <w:pPr>
        <w:pStyle w:val="Heading2"/>
        <w:keepNext/>
        <w:widowControl/>
      </w:pPr>
      <w:r>
        <w:t>Service recovery / unhappy client</w:t>
      </w:r>
    </w:p>
    <w:p>
      <w:pPr>
        <w:widowControl/>
      </w:pPr>
      <w:r>
        <w:t>Listen first. Document the concern and current condition with photos. Do not promise fault, refund, treatment, or corrective work outside your authority. Separate “what happened” from “what we can do next.” Escalate promptly.</w:t>
      </w:r>
    </w:p>
    <w:p>
      <w:pPr>
        <w:pStyle w:val="Heading2"/>
        <w:keepNext/>
        <w:widowControl/>
      </w:pPr>
      <w:r>
        <w:t>Complex diagnostics</w:t>
      </w:r>
    </w:p>
    <w:p>
      <w:pPr>
        <w:widowControl/>
      </w:pPr>
      <w:r>
        <w:t>If the diagnosis drives an expensive treatment or removal and evidence is incomplete, slow down. History, irrigation, soil/root conditions, direct signs, comparative trees, testing, or a return visit may be more valuable than producing a quote immediately.</w:t>
      </w:r>
    </w:p>
    <w:p>
      <w:pPr>
        <w:pStyle w:val="Heading1"/>
        <w:keepNext/>
        <w:widowControl/>
      </w:pPr>
      <w:r>
        <w:t>13 | Mandatory Escalation</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UNCERTAINTY IS NOT FAILURE.</w:t>
            </w:r>
          </w:p>
          <w:p>
            <w:pPr>
              <w:pStyle w:val="Callout"/>
              <w:spacing w:after="0"/>
            </w:pPr>
            <w:r>
              <w:t>Concealing uncertainty by guessing is failure.</w:t>
            </w:r>
          </w:p>
        </w:tc>
      </w:tr>
    </w:tbl>
    <w:p>
      <w:pPr>
        <w:spacing w:after="0"/>
        <w:widowControl/>
      </w:pPr>
    </w:p>
    <w:p>
      <w:pPr>
        <w:widowControl/>
      </w:pPr>
      <w:r>
        <w:t>Escalate according to estimator tier and TTC policy when uncertainty could materially affect safety, scope, treatment choice, production method, price, ownership, or liability.</w:t>
      </w:r>
    </w:p>
    <w:p>
      <w:pPr>
        <w:pStyle w:val="Checklist"/>
        <w:ind w:left="259" w:hanging="259"/>
        <w:widowControl/>
      </w:pPr>
      <w:r>
        <w:t xml:space="preserve">☐ </w:t>
      </w:r>
      <w:r>
        <w:t>Job value above estimator authority.</w:t>
      </w:r>
    </w:p>
    <w:p>
      <w:pPr>
        <w:pStyle w:val="Checklist"/>
        <w:ind w:left="259" w:hanging="259"/>
        <w:widowControl/>
      </w:pPr>
      <w:r>
        <w:t xml:space="preserve">☐ </w:t>
      </w:r>
      <w:r>
        <w:t>Crane work or unusually complex rigging outside qualification.</w:t>
      </w:r>
    </w:p>
    <w:p>
      <w:pPr>
        <w:pStyle w:val="Checklist"/>
        <w:ind w:left="259" w:hanging="259"/>
        <w:widowControl/>
      </w:pPr>
      <w:r>
        <w:t xml:space="preserve">☐ </w:t>
      </w:r>
      <w:r>
        <w:t>Production method cannot be confidently determined.</w:t>
      </w:r>
    </w:p>
    <w:p>
      <w:pPr>
        <w:pStyle w:val="Checklist"/>
        <w:ind w:left="259" w:hanging="259"/>
        <w:widowControl/>
      </w:pPr>
      <w:r>
        <w:t xml:space="preserve">☐ </w:t>
      </w:r>
      <w:r>
        <w:t>Significant tree-risk situation outside qualification.</w:t>
      </w:r>
    </w:p>
    <w:p>
      <w:pPr>
        <w:pStyle w:val="Checklist"/>
        <w:ind w:left="259" w:hanging="259"/>
        <w:widowControl/>
      </w:pPr>
      <w:r>
        <w:t xml:space="preserve">☐ </w:t>
      </w:r>
      <w:r>
        <w:t>Diagnosis is insufficient to support a treatment recommendation.</w:t>
      </w:r>
    </w:p>
    <w:p>
      <w:pPr>
        <w:pStyle w:val="Checklist"/>
        <w:ind w:left="259" w:hanging="259"/>
        <w:widowControl/>
      </w:pPr>
      <w:r>
        <w:t xml:space="preserve">☐ </w:t>
      </w:r>
      <w:r>
        <w:t>Chemical/product/timing question outside PHC authority.</w:t>
      </w:r>
    </w:p>
    <w:p>
      <w:pPr>
        <w:pStyle w:val="Checklist"/>
        <w:ind w:left="259" w:hanging="259"/>
        <w:widowControl/>
      </w:pPr>
      <w:r>
        <w:t xml:space="preserve">☐ </w:t>
      </w:r>
      <w:r>
        <w:t>Neighbor/ownership/permission conflict.</w:t>
      </w:r>
    </w:p>
    <w:p>
      <w:pPr>
        <w:pStyle w:val="Checklist"/>
        <w:ind w:left="259" w:hanging="259"/>
        <w:widowControl/>
      </w:pPr>
      <w:r>
        <w:t xml:space="preserve">☐ </w:t>
      </w:r>
      <w:r>
        <w:t>Significant utility complication.</w:t>
      </w:r>
    </w:p>
    <w:p>
      <w:pPr>
        <w:pStyle w:val="Checklist"/>
        <w:ind w:left="259" w:hanging="259"/>
        <w:widowControl/>
      </w:pPr>
      <w:r>
        <w:t xml:space="preserve">☐ </w:t>
      </w:r>
      <w:r>
        <w:t>Unusual liability, damage, insurance, or legal situation.</w:t>
      </w:r>
    </w:p>
    <w:p>
      <w:pPr>
        <w:pStyle w:val="Checklist"/>
        <w:ind w:left="259" w:hanging="259"/>
        <w:widowControl/>
      </w:pPr>
      <w:r>
        <w:t xml:space="preserve">☐ </w:t>
      </w:r>
      <w:r>
        <w:t>Client requests work TTC considers inappropriate and the estimator cannot resolve the objective safely.</w:t>
      </w:r>
    </w:p>
    <w:p>
      <w:pPr>
        <w:pStyle w:val="Checklist"/>
        <w:ind w:left="259" w:hanging="259"/>
        <w:widowControl/>
      </w:pPr>
      <w:r>
        <w:t xml:space="preserve">☐ </w:t>
      </w:r>
      <w:r>
        <w:t>Anything the estimator cannot confidently translate into crew, time, equipment, and a production-ready scope.</w:t>
      </w:r>
    </w:p>
    <w:p>
      <w:pPr>
        <w:pStyle w:val="Heading1"/>
        <w:keepNext/>
        <w:widowControl/>
      </w:pPr>
      <w:r>
        <w:t>14 | Field Checklists</w:t>
      </w:r>
    </w:p>
    <w:p>
      <w:pPr>
        <w:pStyle w:val="Heading2"/>
        <w:keepNext/>
        <w:widowControl/>
      </w:pPr>
      <w:r>
        <w:t>Appointment quick check</w:t>
      </w:r>
    </w:p>
    <w:p>
      <w:pPr>
        <w:pStyle w:val="Checklist"/>
        <w:ind w:left="259" w:hanging="259"/>
        <w:widowControl/>
      </w:pPr>
      <w:r>
        <w:t xml:space="preserve">☐ </w:t>
      </w:r>
      <w:r>
        <w:t>Reviewed history and request.</w:t>
      </w:r>
    </w:p>
    <w:p>
      <w:pPr>
        <w:pStyle w:val="Checklist"/>
        <w:ind w:left="259" w:hanging="259"/>
        <w:widowControl/>
      </w:pPr>
      <w:r>
        <w:t xml:space="preserve">☐ </w:t>
      </w:r>
      <w:r>
        <w:t>On time, prepared, clean, iPad ready.</w:t>
      </w:r>
    </w:p>
    <w:p>
      <w:pPr>
        <w:pStyle w:val="Checklist"/>
        <w:ind w:left="259" w:hanging="259"/>
        <w:widowControl/>
      </w:pPr>
      <w:r>
        <w:t xml:space="preserve">☐ </w:t>
      </w:r>
      <w:r>
        <w:t>Established client objective and priorities.</w:t>
      </w:r>
    </w:p>
    <w:p>
      <w:pPr>
        <w:pStyle w:val="Checklist"/>
        <w:ind w:left="259" w:hanging="259"/>
        <w:widowControl/>
      </w:pPr>
      <w:r>
        <w:t xml:space="preserve">☐ </w:t>
      </w:r>
      <w:r>
        <w:t>Continuous Property Assessment active throughout visit.</w:t>
      </w:r>
    </w:p>
    <w:p>
      <w:pPr>
        <w:pStyle w:val="Checklist"/>
        <w:ind w:left="259" w:hanging="259"/>
        <w:widowControl/>
      </w:pPr>
      <w:r>
        <w:t xml:space="preserve">☐ </w:t>
      </w:r>
      <w:r>
        <w:t>Photographed every material tree/condition/access issue.</w:t>
      </w:r>
    </w:p>
    <w:p>
      <w:pPr>
        <w:pStyle w:val="Checklist"/>
        <w:ind w:left="259" w:hanging="259"/>
        <w:widowControl/>
      </w:pPr>
      <w:r>
        <w:t xml:space="preserve">☐ </w:t>
      </w:r>
      <w:r>
        <w:t>Prescribed sound arboriculture; did not merely repeat requested method.</w:t>
      </w:r>
    </w:p>
    <w:p>
      <w:pPr>
        <w:pStyle w:val="Checklist"/>
        <w:ind w:left="259" w:hanging="259"/>
        <w:widowControl/>
      </w:pPr>
      <w:r>
        <w:t xml:space="preserve">☐ </w:t>
      </w:r>
      <w:r>
        <w:t>Identified PHC opportunities and appropriate disposition.</w:t>
      </w:r>
    </w:p>
    <w:p>
      <w:pPr>
        <w:pStyle w:val="Checklist"/>
        <w:ind w:left="259" w:hanging="259"/>
        <w:widowControl/>
      </w:pPr>
      <w:r>
        <w:t xml:space="preserve">☐ </w:t>
      </w:r>
      <w:r>
        <w:t>Determined production method, equipment, access, cleanup, utilities, and assumptions.</w:t>
      </w:r>
    </w:p>
    <w:p>
      <w:pPr>
        <w:pStyle w:val="Checklist"/>
        <w:ind w:left="259" w:hanging="259"/>
        <w:widowControl/>
      </w:pPr>
      <w:r>
        <w:t xml:space="preserve">☐ </w:t>
      </w:r>
      <w:r>
        <w:t>Created legitimate options where useful.</w:t>
      </w:r>
    </w:p>
    <w:p>
      <w:pPr>
        <w:pStyle w:val="Checklist"/>
        <w:ind w:left="259" w:hanging="259"/>
        <w:widowControl/>
      </w:pPr>
      <w:r>
        <w:t xml:space="preserve">☐ </w:t>
      </w:r>
      <w:r>
        <w:t>Set expectations: result, remaining conditions, cleanup, schedule, site impact, biological limitations.</w:t>
      </w:r>
    </w:p>
    <w:p>
      <w:pPr>
        <w:pStyle w:val="Checklist"/>
        <w:ind w:left="259" w:hanging="259"/>
        <w:widowControl/>
      </w:pPr>
      <w:r>
        <w:t xml:space="preserve">☐ </w:t>
      </w:r>
      <w:r>
        <w:t>Collected measurements and tolerances.</w:t>
      </w:r>
    </w:p>
    <w:p>
      <w:pPr>
        <w:pStyle w:val="Checklist"/>
        <w:ind w:left="259" w:hanging="259"/>
        <w:widowControl/>
      </w:pPr>
      <w:r>
        <w:t xml:space="preserve">☐ </w:t>
      </w:r>
      <w:r>
        <w:t>Identified escalation/research needs.</w:t>
      </w:r>
    </w:p>
    <w:p>
      <w:pPr>
        <w:pStyle w:val="Checklist"/>
        <w:ind w:left="259" w:hanging="259"/>
        <w:widowControl/>
      </w:pPr>
      <w:r>
        <w:t xml:space="preserve">☐ </w:t>
      </w:r>
      <w:r>
        <w:t>Confirmed contact info and next steps.</w:t>
      </w:r>
    </w:p>
    <w:p>
      <w:pPr>
        <w:pStyle w:val="Heading2"/>
        <w:keepNext/>
        <w:widowControl/>
      </w:pPr>
      <w:r>
        <w:t>Production-ready line-item check</w:t>
      </w:r>
    </w:p>
    <w:p>
      <w:pPr>
        <w:pStyle w:val="Checklist"/>
        <w:ind w:left="259" w:hanging="259"/>
        <w:widowControl/>
      </w:pPr>
      <w:r>
        <w:t xml:space="preserve">☐ </w:t>
      </w:r>
      <w:r>
        <w:t>Tree(s) and location unmistakable.</w:t>
      </w:r>
    </w:p>
    <w:p>
      <w:pPr>
        <w:pStyle w:val="Checklist"/>
        <w:ind w:left="259" w:hanging="259"/>
        <w:widowControl/>
      </w:pPr>
      <w:r>
        <w:t xml:space="preserve">☐ </w:t>
      </w:r>
      <w:r>
        <w:t>Relevant condition documented.</w:t>
      </w:r>
    </w:p>
    <w:p>
      <w:pPr>
        <w:pStyle w:val="Checklist"/>
        <w:ind w:left="259" w:hanging="259"/>
        <w:widowControl/>
      </w:pPr>
      <w:r>
        <w:t xml:space="preserve">☐ </w:t>
      </w:r>
      <w:r>
        <w:t>Objective understandable to client.</w:t>
      </w:r>
    </w:p>
    <w:p>
      <w:pPr>
        <w:pStyle w:val="Checklist"/>
        <w:ind w:left="259" w:hanging="259"/>
        <w:widowControl/>
      </w:pPr>
      <w:r>
        <w:t xml:space="preserve">☐ </w:t>
      </w:r>
      <w:r>
        <w:t>Specifications measurable and concise.</w:t>
      </w:r>
    </w:p>
    <w:p>
      <w:pPr>
        <w:pStyle w:val="Checklist"/>
        <w:ind w:left="259" w:hanging="259"/>
        <w:widowControl/>
      </w:pPr>
      <w:r>
        <w:t xml:space="preserve">☐ </w:t>
      </w:r>
      <w:r>
        <w:t>Clearance tolerance specific wherever practical.</w:t>
      </w:r>
    </w:p>
    <w:p>
      <w:pPr>
        <w:pStyle w:val="Checklist"/>
        <w:ind w:left="259" w:hanging="259"/>
        <w:widowControl/>
      </w:pPr>
      <w:r>
        <w:t xml:space="preserve">☐ </w:t>
      </w:r>
      <w:r>
        <w:t>Photos/markups attached where spatial information matters.</w:t>
      </w:r>
    </w:p>
    <w:p>
      <w:pPr>
        <w:pStyle w:val="Checklist"/>
        <w:ind w:left="259" w:hanging="259"/>
        <w:widowControl/>
      </w:pPr>
      <w:r>
        <w:t xml:space="preserve">☐ </w:t>
      </w:r>
      <w:r>
        <w:t>Important remaining condition/limitation stated.</w:t>
      </w:r>
    </w:p>
    <w:p>
      <w:pPr>
        <w:pStyle w:val="Checklist"/>
        <w:ind w:left="259" w:hanging="259"/>
        <w:widowControl/>
      </w:pPr>
      <w:r>
        <w:t xml:space="preserve">☐ </w:t>
      </w:r>
      <w:r>
        <w:t>Cleanup/access assumptions stated if material.</w:t>
      </w:r>
    </w:p>
    <w:p>
      <w:pPr>
        <w:pStyle w:val="Checklist"/>
        <w:ind w:left="259" w:hanging="259"/>
        <w:widowControl/>
      </w:pPr>
      <w:r>
        <w:t xml:space="preserve">☐ </w:t>
      </w:r>
      <w:r>
        <w:t>Crew can execute without calling estimator.</w:t>
      </w:r>
    </w:p>
    <w:p>
      <w:pPr>
        <w:pStyle w:val="Checklist"/>
        <w:ind w:left="259" w:hanging="259"/>
        <w:widowControl/>
      </w:pPr>
      <w:r>
        <w:t xml:space="preserve">☐ </w:t>
      </w:r>
      <w:r>
        <w:t>No unnecessary words.</w:t>
      </w:r>
    </w:p>
    <w:p>
      <w:pPr>
        <w:pStyle w:val="Heading2"/>
        <w:keepNext/>
        <w:widowControl/>
      </w:pPr>
      <w:r>
        <w:t>Continuous Property Assessment prompts</w:t>
      </w:r>
    </w:p>
    <w:p>
      <w:pPr>
        <w:widowControl/>
      </w:pPr>
      <w:r>
        <w:t>Foliage • canopy vigor • pests/disease • trunk/bark • root flare • irrigation/site • structural development • clearance conflicts • valuable preventive-treatment candidates • young-tree training opportunities.</w:t>
      </w:r>
    </w:p>
    <w:p>
      <w:pPr>
        <w:pStyle w:val="Heading1"/>
        <w:keepNext/>
        <w:widowControl/>
      </w:pPr>
      <w:r>
        <w:t>15 | Training &amp; Qualification</w:t>
      </w:r>
    </w:p>
    <w:p>
      <w:pPr>
        <w:widowControl/>
      </w:pPr>
      <w:r>
        <w:t>This manual defines the TTC estimating method; qualification requires demonstrated performance. Estimators advance through the TTC Qualified Estimator pass-off system and may hold separate PHC or Complex Removals &amp; Rigging endorsements.</w:t>
      </w:r>
    </w:p>
    <w:p>
      <w:pPr>
        <w:pStyle w:val="Heading2"/>
        <w:keepNext/>
        <w:widowControl/>
      </w:pPr>
      <w:r>
        <w:t>Observable behaviors to score</w:t>
      </w:r>
    </w:p>
    <w:p>
      <w:pPr>
        <w:pStyle w:val="Checklist"/>
        <w:ind w:left="0" w:hanging="202"/>
        <w:widowControl/>
      </w:pPr>
      <w:r>
        <w:rPr>
          <w:b/>
        </w:rPr>
        <w:t xml:space="preserve">• </w:t>
      </w:r>
      <w:r>
        <w:t>Establishes client objective before final recommendation.</w:t>
      </w:r>
    </w:p>
    <w:p>
      <w:pPr>
        <w:pStyle w:val="Checklist"/>
        <w:ind w:left="0" w:hanging="202"/>
        <w:widowControl/>
      </w:pPr>
      <w:r>
        <w:rPr>
          <w:b/>
        </w:rPr>
        <w:t xml:space="preserve">• </w:t>
      </w:r>
      <w:r>
        <w:t>Notices meaningful conditions outside the stated request.</w:t>
      </w:r>
    </w:p>
    <w:p>
      <w:pPr>
        <w:pStyle w:val="Checklist"/>
        <w:ind w:left="0" w:hanging="202"/>
        <w:widowControl/>
      </w:pPr>
      <w:r>
        <w:rPr>
          <w:b/>
        </w:rPr>
        <w:t xml:space="preserve">• </w:t>
      </w:r>
      <w:r>
        <w:t>Recognizes legitimate PHC opportunities without inventing treatment.</w:t>
      </w:r>
    </w:p>
    <w:p>
      <w:pPr>
        <w:pStyle w:val="Checklist"/>
        <w:ind w:left="0" w:hanging="202"/>
        <w:widowControl/>
      </w:pPr>
      <w:r>
        <w:rPr>
          <w:b/>
        </w:rPr>
        <w:t xml:space="preserve">• </w:t>
      </w:r>
      <w:r>
        <w:t>Shows appropriate treatment restraint and escalation.</w:t>
      </w:r>
    </w:p>
    <w:p>
      <w:pPr>
        <w:pStyle w:val="Checklist"/>
        <w:ind w:left="0" w:hanging="202"/>
        <w:widowControl/>
      </w:pPr>
      <w:r>
        <w:rPr>
          <w:b/>
        </w:rPr>
        <w:t xml:space="preserve">• </w:t>
      </w:r>
      <w:r>
        <w:t>Builds a realistic production plan.</w:t>
      </w:r>
    </w:p>
    <w:p>
      <w:pPr>
        <w:pStyle w:val="Checklist"/>
        <w:ind w:left="0" w:hanging="202"/>
        <w:widowControl/>
      </w:pPr>
      <w:r>
        <w:rPr>
          <w:b/>
        </w:rPr>
        <w:t xml:space="preserve">• </w:t>
      </w:r>
      <w:r>
        <w:t>Collects photos, measurements, and access information.</w:t>
      </w:r>
    </w:p>
    <w:p>
      <w:pPr>
        <w:pStyle w:val="Checklist"/>
        <w:ind w:left="0" w:hanging="202"/>
        <w:widowControl/>
      </w:pPr>
      <w:r>
        <w:rPr>
          <w:b/>
        </w:rPr>
        <w:t xml:space="preserve">• </w:t>
      </w:r>
      <w:r>
        <w:t>Writes concise prescriptive scopes with measurable tolerances.</w:t>
      </w:r>
    </w:p>
    <w:p>
      <w:pPr>
        <w:pStyle w:val="Checklist"/>
        <w:ind w:left="0" w:hanging="202"/>
        <w:widowControl/>
      </w:pPr>
      <w:r>
        <w:rPr>
          <w:b/>
        </w:rPr>
        <w:t xml:space="preserve">• </w:t>
      </w:r>
      <w:r>
        <w:t>Sets realistic expectations and limitations.</w:t>
      </w:r>
    </w:p>
    <w:p>
      <w:pPr>
        <w:pStyle w:val="Checklist"/>
        <w:ind w:left="0" w:hanging="202"/>
        <w:widowControl/>
      </w:pPr>
      <w:r>
        <w:rPr>
          <w:b/>
        </w:rPr>
        <w:t xml:space="preserve">• </w:t>
      </w:r>
      <w:r>
        <w:t>Communicates professionally and builds rapport without pressure.</w:t>
      </w:r>
    </w:p>
    <w:p>
      <w:pPr>
        <w:pStyle w:val="Checklist"/>
        <w:ind w:left="0" w:hanging="202"/>
        <w:widowControl/>
      </w:pPr>
      <w:r>
        <w:rPr>
          <w:b/>
        </w:rPr>
        <w:t>• Prices routine work thoughtfully, delivers proposals promptly, and handles objections without reflexive discounting.</w:t>
      </w:r>
      <w:r/>
    </w:p>
    <w:p>
      <w:pPr>
        <w:pStyle w:val="Checklist"/>
        <w:ind w:left="0" w:hanging="202"/>
        <w:widowControl/>
      </w:pPr>
      <w:r>
        <w:rPr>
          <w:b/>
        </w:rPr>
        <w:t xml:space="preserve">• </w:t>
      </w:r>
      <w:r>
        <w:t>Leaves a proposal a qualified crew can execute without clarification.</w:t>
      </w:r>
    </w:p>
    <w:tbl>
      <w:tblPr>
        <w:tblW w:type="auto" w:w="0"/>
        <w:jc w:val="center"/>
        <w:tblLayout w:type="autofit"/>
        <w:tblLook w:firstColumn="1" w:firstRow="1" w:lastColumn="0" w:lastRow="0" w:noHBand="0" w:noVBand="1" w:val="04A0"/>
      </w:tblPr>
      <w:tblGrid>
        <w:gridCol w:w="8208"/>
      </w:tblGrid>
      <w:tr>
        <w:tc>
          <w:tcPr>
            <w:tcW w:type="dxa" w:w="8208"/>
            <w:shd w:fill="EEF2EA"/>
            <w:tcMar>
              <w:top w:w="110" w:type="dxa"/>
              <w:start w:w="130" w:type="dxa"/>
              <w:bottom w:w="110" w:type="dxa"/>
              <w:end w:w="130" w:type="dxa"/>
            </w:tcMar>
            <w:vAlign w:val="center"/>
          </w:tcPr>
          <w:p>
            <w:r>
              <w:rPr>
                <w:b/>
                <w:color w:val="2F4A3A"/>
                <w:sz w:val="16"/>
              </w:rPr>
              <w:t>TRAINER EXERCISE</w:t>
            </w:r>
          </w:p>
          <w:p>
            <w:pPr>
              <w:pStyle w:val="Callout"/>
              <w:spacing w:after="0"/>
            </w:pPr>
            <w:r>
              <w:t>On a ride-along, trainer and trainee independently note what they observe while walking the property. Compare at the end: What did you notice? What mattered? What did not? What would you mention? What would you prescribe? This tests arborist observation better than memorizing a sales script.</w:t>
            </w:r>
          </w:p>
        </w:tc>
      </w:tr>
    </w:tbl>
    <w:p>
      <w:pPr>
        <w:spacing w:after="0"/>
        <w:widowControl/>
      </w:pPr>
    </w:p>
    <w:p>
      <w:pPr>
        <w:pStyle w:val="Heading1"/>
        <w:keepNext/>
        <w:widowControl/>
      </w:pPr>
      <w:r>
        <w:t>16 | TTC Estimator Principles — One-Page Reference</w:t>
      </w:r>
    </w:p>
    <w:p>
      <w:pPr>
        <w:pStyle w:val="Checklist"/>
        <w:spacing w:after="100"/>
        <w:widowControl/>
      </w:pPr>
      <w:r>
        <w:rPr>
          <w:b/>
          <w:color w:val="B89445"/>
        </w:rPr>
        <w:t xml:space="preserve">01  </w:t>
      </w:r>
      <w:r>
        <w:t>Understand what the client wants before prescribing the work.</w:t>
      </w:r>
    </w:p>
    <w:p>
      <w:pPr>
        <w:pStyle w:val="Checklist"/>
        <w:spacing w:after="100"/>
        <w:widowControl/>
      </w:pPr>
      <w:r>
        <w:rPr>
          <w:b/>
          <w:color w:val="B89445"/>
        </w:rPr>
        <w:t xml:space="preserve">02  </w:t>
      </w:r>
      <w:r>
        <w:t>Observe from the moment you arrive; do not wait for the client to point out problems.</w:t>
      </w:r>
    </w:p>
    <w:p>
      <w:pPr>
        <w:pStyle w:val="Checklist"/>
        <w:spacing w:after="100"/>
        <w:widowControl/>
      </w:pPr>
      <w:r>
        <w:rPr>
          <w:b/>
          <w:color w:val="B89445"/>
        </w:rPr>
        <w:t xml:space="preserve">03  </w:t>
      </w:r>
      <w:r>
        <w:t>Prescribe arboriculture, not “tree trimming.”</w:t>
      </w:r>
    </w:p>
    <w:p>
      <w:pPr>
        <w:pStyle w:val="Checklist"/>
        <w:spacing w:after="100"/>
        <w:widowControl/>
      </w:pPr>
      <w:r>
        <w:rPr>
          <w:b/>
          <w:color w:val="B89445"/>
        </w:rPr>
        <w:t xml:space="preserve">04  </w:t>
      </w:r>
      <w:r>
        <w:t>Identify legitimate additional work — especially PHC — without inventing work.</w:t>
      </w:r>
    </w:p>
    <w:p>
      <w:pPr>
        <w:pStyle w:val="Checklist"/>
        <w:spacing w:after="100"/>
        <w:widowControl/>
      </w:pPr>
      <w:r>
        <w:rPr>
          <w:b/>
          <w:color w:val="B89445"/>
        </w:rPr>
        <w:t xml:space="preserve">05  </w:t>
      </w:r>
      <w:r>
        <w:t>Show clients what you see and explain why it matters.</w:t>
      </w:r>
    </w:p>
    <w:p>
      <w:pPr>
        <w:pStyle w:val="Checklist"/>
        <w:spacing w:after="100"/>
        <w:widowControl/>
      </w:pPr>
      <w:r>
        <w:rPr>
          <w:b/>
          <w:color w:val="B89445"/>
        </w:rPr>
        <w:t xml:space="preserve">06  </w:t>
      </w:r>
      <w:r>
        <w:t>Photograph everything material; do not depend on memory.</w:t>
      </w:r>
    </w:p>
    <w:p>
      <w:pPr>
        <w:pStyle w:val="Checklist"/>
        <w:spacing w:after="100"/>
        <w:widowControl/>
      </w:pPr>
      <w:r>
        <w:rPr>
          <w:b/>
          <w:color w:val="B89445"/>
        </w:rPr>
        <w:t xml:space="preserve">07  </w:t>
      </w:r>
      <w:r>
        <w:t>Know how TTC will perform the work before pricing it.</w:t>
      </w:r>
    </w:p>
    <w:p>
      <w:pPr>
        <w:pStyle w:val="Checklist"/>
        <w:spacing w:after="100"/>
        <w:widowControl/>
      </w:pPr>
      <w:r>
        <w:rPr>
          <w:b/>
          <w:color w:val="B89445"/>
        </w:rPr>
        <w:t xml:space="preserve">08  </w:t>
      </w:r>
      <w:r>
        <w:t>Use legitimate options to help clients prioritize.</w:t>
      </w:r>
    </w:p>
    <w:p>
      <w:pPr>
        <w:pStyle w:val="Checklist"/>
        <w:spacing w:after="100"/>
        <w:widowControl/>
      </w:pPr>
      <w:r>
        <w:rPr>
          <w:b/>
          <w:color w:val="B89445"/>
        </w:rPr>
        <w:t xml:space="preserve">09  </w:t>
      </w:r>
      <w:r>
        <w:t>Use words for the prescription, measurements for tolerances, and photos for spatial information.</w:t>
      </w:r>
    </w:p>
    <w:p>
      <w:pPr>
        <w:pStyle w:val="Checklist"/>
        <w:spacing w:after="100"/>
        <w:widowControl/>
      </w:pPr>
      <w:r>
        <w:rPr>
          <w:b/>
          <w:color w:val="B89445"/>
        </w:rPr>
        <w:t xml:space="preserve">10  </w:t>
      </w:r>
      <w:r>
        <w:t>Write the shortest complete line item.</w:t>
      </w:r>
    </w:p>
    <w:p>
      <w:pPr>
        <w:pStyle w:val="Checklist"/>
        <w:spacing w:after="100"/>
        <w:widowControl/>
      </w:pPr>
      <w:r>
        <w:rPr>
          <w:b/>
          <w:color w:val="B89445"/>
        </w:rPr>
        <w:t xml:space="preserve">11  </w:t>
      </w:r>
      <w:r>
        <w:t>Set the clearest possible expectations. Ask: “What could surprise this client later?”</w:t>
      </w:r>
    </w:p>
    <w:p>
      <w:pPr>
        <w:pStyle w:val="Checklist"/>
        <w:spacing w:after="100"/>
        <w:widowControl/>
      </w:pPr>
      <w:r>
        <w:rPr>
          <w:b/>
          <w:color w:val="B89445"/>
        </w:rPr>
        <w:t xml:space="preserve">12  </w:t>
      </w:r>
      <w:r>
        <w:t>Under-promise and over-deliver.</w:t>
      </w:r>
    </w:p>
    <w:p>
      <w:pPr>
        <w:pStyle w:val="Checklist"/>
        <w:spacing w:after="100"/>
        <w:widowControl/>
      </w:pPr>
      <w:r>
        <w:rPr>
          <w:b/>
          <w:color w:val="B89445"/>
        </w:rPr>
        <w:t xml:space="preserve">13  </w:t>
      </w:r>
      <w:r>
        <w:t>Never create urgency that does not exist.</w:t>
      </w:r>
    </w:p>
    <w:p>
      <w:pPr>
        <w:pStyle w:val="Checklist"/>
        <w:spacing w:after="100"/>
        <w:widowControl/>
      </w:pPr>
      <w:r>
        <w:rPr>
          <w:b/>
          <w:color w:val="B89445"/>
        </w:rPr>
        <w:t xml:space="preserve">14  </w:t>
      </w:r>
      <w:r>
        <w:t>Say “I do not know yet” when that is the professional answer.</w:t>
      </w:r>
    </w:p>
    <w:p>
      <w:pPr>
        <w:pStyle w:val="Checklist"/>
        <w:spacing w:after="100"/>
        <w:widowControl/>
      </w:pPr>
      <w:r>
        <w:rPr>
          <w:b/>
          <w:color w:val="B89445"/>
        </w:rPr>
        <w:t xml:space="preserve">15  </w:t>
      </w:r>
      <w:r>
        <w:t>Escalate instead of guessing.</w:t>
      </w:r>
    </w:p>
    <w:p>
      <w:pPr>
        <w:pStyle w:val="Checklist"/>
        <w:spacing w:after="100"/>
        <w:widowControl/>
      </w:pPr>
      <w:r>
        <w:rPr>
          <w:b/>
          <w:color w:val="B89445"/>
        </w:rPr>
        <w:t xml:space="preserve">16  </w:t>
      </w:r>
      <w:r>
        <w:t>Leave the client feeling that TTC is their tree company — whether or not they buy everything today.</w:t>
      </w:r>
    </w:p>
    <w:p>
      <w:pPr>
        <w:pStyle w:val="Heading1"/>
        <w:keepNext/>
        <w:widowControl/>
      </w:pPr>
      <w:r>
        <w:t>References &amp; Technical Basis</w:t>
      </w:r>
    </w:p>
    <w:p>
      <w:pPr>
        <w:widowControl/>
      </w:pPr>
      <w:r>
        <w:t>This manual combines Total Tree Care’s observed estimating practices and internal training decisions with current industry references. Technical treatment protocols, product labels, pricing, lead times, and company policies should be maintained separately and updated as they change.</w:t>
      </w:r>
    </w:p>
    <w:p>
      <w:pPr>
        <w:pStyle w:val="Heading2"/>
        <w:keepNext/>
        <w:widowControl/>
      </w:pPr>
      <w:r>
        <w:t>Primary industry references</w:t>
      </w:r>
    </w:p>
    <w:p>
      <w:pPr>
        <w:widowControl/>
      </w:pPr>
      <w:r>
        <w:t>ANSI A300-2023 Tree Care Standards. Clause 5 addresses pruning; the consolidated standard also provides guidance for writing tree-care work specifications.</w:t>
      </w:r>
    </w:p>
    <w:p>
      <w:pPr>
        <w:widowControl/>
      </w:pPr>
      <w:r>
        <w:t>International Society of Arboriculture. Best Management Practices — Pruning, Third Edition (2019). Companion guidance covering pruning systems, objectives, cuts, practices, and specifications.</w:t>
      </w:r>
    </w:p>
    <w:p>
      <w:pPr>
        <w:widowControl/>
      </w:pPr>
      <w:r>
        <w:t>Tree Care Industry Association / TCI Magazine. “Stop Pruning Malpractice with a Prescription” (2026). Practical discussion of objective-based A300-2023 pruning specifications and prescription detail.</w:t>
      </w:r>
    </w:p>
    <w:p>
      <w:pPr>
        <w:pStyle w:val="Heading2"/>
        <w:keepNext/>
        <w:widowControl/>
      </w:pPr>
      <w:r>
        <w:t>Important distinction</w:t>
      </w:r>
    </w:p>
    <w:p>
      <w:pPr>
        <w:widowControl/>
      </w:pPr>
      <w:r>
        <w:t>A300 is a performance standard. TTC’s Condition → Objective → Specification → Expectation framework, photography rules, client-experience practices, and production handoff requirements are TTC operating standards designed to produce clear, defensible, executable work specifications. Do not attribute a TTC practice to ANSI unless the current standard supports that attribution.</w:t>
      </w:r>
    </w:p>
    <w:p>
      <w:pPr>
        <w:pStyle w:val="Heading2"/>
        <w:keepNext/>
        <w:widowControl/>
      </w:pPr>
      <w:r>
        <w:t>Document control</w:t>
      </w:r>
    </w:p>
    <w:p>
      <w:pPr>
        <w:pStyle w:val="Small"/>
        <w:widowControl/>
      </w:pPr>
      <w:r>
        <w:t>Owner: Total Tree Care  |  Edition: 2026 field-manual edition</w:t>
      </w:r>
    </w:p>
    <w:sectPr w:rsidR="00FC693F" w:rsidRPr="0006063C" w:rsidSect="00034616">
      <w:footerReference w:type="default" r:id="rId9"/>
      <w:headerReference w:type="default" r:id="rId10"/>
      <w:pgSz w:w="10080" w:h="1440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69"/>
        <w:sz w:val="14"/>
      </w:rPr>
      <w:t xml:space="preserve">TOTAL TREE CARE  •  ESTIMATOR FIELD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29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F4A3A"/>
      <w:sz w:val="3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2F4A3A"/>
      <w:sz w:val="24"/>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ptos Display" w:hAnsi="Aptos Display"/>
      <w:b/>
      <w:bCs/>
      <w:color w:val="B894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E8B3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4A3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4A3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E8B3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97B3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E8B3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E8B3D"/>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ptos Display" w:hAnsi="Aptos Display"/>
      <w:b/>
      <w:color w:val="2F4A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8A642C"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E8B3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E8B3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E8B3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4A3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4A3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E8B3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E8B3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A97B35" w:themeColor="accent1"/>
      </w:pBdr>
      <w:spacing w:before="200" w:after="280"/>
      <w:ind w:left="936" w:right="936"/>
    </w:pPr>
    <w:rPr>
      <w:b/>
      <w:bCs/>
      <w:i/>
      <w:iCs/>
      <w:color w:val="6E8B3D"/>
    </w:rPr>
  </w:style>
  <w:style w:type="character" w:customStyle="1" w:styleId="IntenseQuoteChar">
    <w:name w:val="Intense Quote Char"/>
    <w:basedOn w:val="DefaultParagraphFont"/>
    <w:link w:val="IntenseQuote"/>
    <w:uiPriority w:val="30"/>
    <w:rsid w:val="00FC693F"/>
    <w:rPr>
      <w:b/>
      <w:bCs/>
      <w:i/>
      <w:iCs/>
      <w:color w:val="6E8B3D"/>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E8B3D"/>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97B35" w:themeColor="accent1" w:themeShade="BF"/>
    </w:rPr>
    <w:tblPr>
      <w:tblStyleRowBandSize w:val="1"/>
      <w:tblStyleColBandSize w:val="1"/>
      <w:tblInd w:w="0" w:type="dxa"/>
      <w:tblBorders>
        <w:top w:val="single" w:sz="8" w:space="0" w:color="A97B35" w:themeColor="accent1"/>
        <w:bottom w:val="single" w:sz="8" w:space="0" w:color="A97B3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97B35" w:themeColor="accent1"/>
          <w:left w:val="nil"/>
          <w:bottom w:val="single" w:sz="8" w:space="0" w:color="A97B35" w:themeColor="accent1"/>
          <w:right w:val="nil"/>
          <w:insideH w:val="nil"/>
          <w:insideV w:val="nil"/>
        </w:tcBorders>
      </w:tcPr>
    </w:tblStylePr>
    <w:tblStylePr w:type="lastRow">
      <w:pPr>
        <w:spacing w:before="0" w:after="0" w:line="240" w:lineRule="auto"/>
      </w:pPr>
      <w:rPr>
        <w:b/>
        <w:bCs/>
      </w:rPr>
      <w:tblPr/>
      <w:tcPr>
        <w:tcBorders>
          <w:top w:val="single" w:sz="8" w:space="0" w:color="A97B35" w:themeColor="accent1"/>
          <w:left w:val="nil"/>
          <w:bottom w:val="single" w:sz="8" w:space="0" w:color="A97B3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A97B35" w:themeColor="accent5" w:themeShade="BF"/>
    </w:rPr>
    <w:tblPr>
      <w:tblStyleRowBandSize w:val="1"/>
      <w:tblStyleColBandSize w:val="1"/>
      <w:tblInd w:w="0" w:type="dxa"/>
      <w:tblBorders>
        <w:top w:val="single" w:sz="8" w:space="0" w:color="B89445" w:themeColor="accent5"/>
        <w:bottom w:val="single" w:sz="8" w:space="0" w:color="B8944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89445" w:themeColor="accent5"/>
          <w:left w:val="nil"/>
          <w:bottom w:val="single" w:sz="8" w:space="0" w:color="B89445" w:themeColor="accent5"/>
          <w:right w:val="nil"/>
          <w:insideH w:val="nil"/>
          <w:insideV w:val="nil"/>
        </w:tcBorders>
      </w:tcPr>
    </w:tblStylePr>
    <w:tblStylePr w:type="lastRow">
      <w:pPr>
        <w:spacing w:before="0" w:after="0" w:line="240" w:lineRule="auto"/>
      </w:pPr>
      <w:rPr>
        <w:b/>
        <w:bCs/>
      </w:rPr>
      <w:tblPr/>
      <w:tcPr>
        <w:tcBorders>
          <w:top w:val="single" w:sz="8" w:space="0" w:color="B89445" w:themeColor="accent5"/>
          <w:left w:val="nil"/>
          <w:bottom w:val="single" w:sz="8" w:space="0" w:color="B8944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97B35" w:themeFill="accent1"/>
      </w:tcPr>
    </w:tblStylePr>
    <w:tblStylePr w:type="lastRow">
      <w:pPr>
        <w:spacing w:before="0" w:after="0" w:line="240" w:lineRule="auto"/>
      </w:pPr>
      <w:rPr>
        <w:b/>
        <w:bCs/>
      </w:rPr>
      <w:tblPr/>
      <w:tcPr>
        <w:tcBorders>
          <w:top w:val="double" w:sz="6" w:space="0" w:color="A97B35" w:themeColor="accent1"/>
          <w:left w:val="single" w:sz="8" w:space="0" w:color="A97B35" w:themeColor="accent1"/>
          <w:bottom w:val="single" w:sz="8" w:space="0" w:color="A97B35" w:themeColor="accent1"/>
          <w:right w:val="single" w:sz="8" w:space="0" w:color="A97B35" w:themeColor="accent1"/>
        </w:tcBorders>
      </w:tcPr>
    </w:tblStylePr>
    <w:tblStylePr w:type="firstCol">
      <w:rPr>
        <w:b/>
        <w:bCs/>
      </w:rPr>
    </w:tblStylePr>
    <w:tblStylePr w:type="lastCol">
      <w:rPr>
        <w:b/>
        <w:bCs/>
      </w:rPr>
    </w:tblStylePr>
    <w:tblStylePr w:type="band1Vert">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tcPr>
    </w:tblStylePr>
    <w:tblStylePr w:type="band1Horz">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89445" w:themeFill="accent5"/>
      </w:tcPr>
    </w:tblStylePr>
    <w:tblStylePr w:type="lastRow">
      <w:pPr>
        <w:spacing w:before="0" w:after="0" w:line="240" w:lineRule="auto"/>
      </w:pPr>
      <w:rPr>
        <w:b/>
        <w:bCs/>
      </w:rPr>
      <w:tblPr/>
      <w:tcPr>
        <w:tcBorders>
          <w:top w:val="double" w:sz="6" w:space="0" w:color="B89445" w:themeColor="accent5"/>
          <w:left w:val="single" w:sz="8" w:space="0" w:color="B89445" w:themeColor="accent5"/>
          <w:bottom w:val="single" w:sz="8" w:space="0" w:color="B89445" w:themeColor="accent5"/>
          <w:right w:val="single" w:sz="8" w:space="0" w:color="B89445" w:themeColor="accent5"/>
        </w:tcBorders>
      </w:tcPr>
    </w:tblStylePr>
    <w:tblStylePr w:type="firstCol">
      <w:rPr>
        <w:b/>
        <w:bCs/>
      </w:rPr>
    </w:tblStylePr>
    <w:tblStylePr w:type="lastCol">
      <w:rPr>
        <w:b/>
        <w:bCs/>
      </w:rPr>
    </w:tblStylePr>
    <w:tblStylePr w:type="band1Vert">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tcPr>
    </w:tblStylePr>
    <w:tblStylePr w:type="band1Horz">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insideH w:val="single" w:sz="8" w:space="0" w:color="A97B35" w:themeColor="accent1"/>
        <w:insideV w:val="single" w:sz="8" w:space="0" w:color="A97B3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97B35" w:themeColor="accent1"/>
          <w:left w:val="single" w:sz="8" w:space="0" w:color="A97B35" w:themeColor="accent1"/>
          <w:bottom w:val="single" w:sz="18" w:space="0" w:color="A97B35" w:themeColor="accent1"/>
          <w:right w:val="single" w:sz="8" w:space="0" w:color="A97B35" w:themeColor="accent1"/>
          <w:insideH w:val="nil"/>
          <w:insideV w:val="single" w:sz="8" w:space="0" w:color="A97B3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7B35" w:themeColor="accent1"/>
          <w:left w:val="single" w:sz="8" w:space="0" w:color="A97B35" w:themeColor="accent1"/>
          <w:bottom w:val="single" w:sz="8" w:space="0" w:color="A97B35" w:themeColor="accent1"/>
          <w:right w:val="single" w:sz="8" w:space="0" w:color="A97B35" w:themeColor="accent1"/>
          <w:insideH w:val="nil"/>
          <w:insideV w:val="single" w:sz="8" w:space="0" w:color="A97B3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tcPr>
    </w:tblStylePr>
    <w:tblStylePr w:type="band1Vert">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shd w:val="clear" w:color="auto" w:fill="D3DFEE" w:themeFill="accent1" w:themeFillTint="3F"/>
      </w:tcPr>
    </w:tblStylePr>
    <w:tblStylePr w:type="band1Horz">
      <w:tblPr/>
      <w:tcPr>
        <w:tcBorders>
          <w:top w:val="single" w:sz="8" w:space="0" w:color="A97B35" w:themeColor="accent1"/>
          <w:left w:val="single" w:sz="8" w:space="0" w:color="A97B35" w:themeColor="accent1"/>
          <w:bottom w:val="single" w:sz="8" w:space="0" w:color="A97B35" w:themeColor="accent1"/>
          <w:right w:val="single" w:sz="8" w:space="0" w:color="A97B35" w:themeColor="accent1"/>
          <w:insideV w:val="single" w:sz="8" w:space="0" w:color="A97B35" w:themeColor="accent1"/>
        </w:tcBorders>
        <w:shd w:val="clear" w:color="auto" w:fill="D3DFEE" w:themeFill="accent1" w:themeFillTint="3F"/>
      </w:tcPr>
    </w:tblStylePr>
    <w:tblStylePr w:type="band2Horz">
      <w:tblPr/>
      <w:tcPr>
        <w:tcBorders>
          <w:top w:val="single" w:sz="8" w:space="0" w:color="A97B35" w:themeColor="accent1"/>
          <w:left w:val="single" w:sz="8" w:space="0" w:color="A97B35" w:themeColor="accent1"/>
          <w:bottom w:val="single" w:sz="8" w:space="0" w:color="A97B35" w:themeColor="accent1"/>
          <w:right w:val="single" w:sz="8" w:space="0" w:color="A97B35" w:themeColor="accent1"/>
          <w:insideV w:val="single" w:sz="8" w:space="0" w:color="A97B35"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insideH w:val="single" w:sz="8" w:space="0" w:color="B89445" w:themeColor="accent5"/>
        <w:insideV w:val="single" w:sz="8" w:space="0" w:color="B8944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89445" w:themeColor="accent5"/>
          <w:left w:val="single" w:sz="8" w:space="0" w:color="B89445" w:themeColor="accent5"/>
          <w:bottom w:val="single" w:sz="18" w:space="0" w:color="B89445" w:themeColor="accent5"/>
          <w:right w:val="single" w:sz="8" w:space="0" w:color="B89445" w:themeColor="accent5"/>
          <w:insideH w:val="nil"/>
          <w:insideV w:val="single" w:sz="8" w:space="0" w:color="B8944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9445" w:themeColor="accent5"/>
          <w:left w:val="single" w:sz="8" w:space="0" w:color="B89445" w:themeColor="accent5"/>
          <w:bottom w:val="single" w:sz="8" w:space="0" w:color="B89445" w:themeColor="accent5"/>
          <w:right w:val="single" w:sz="8" w:space="0" w:color="B89445" w:themeColor="accent5"/>
          <w:insideH w:val="nil"/>
          <w:insideV w:val="single" w:sz="8" w:space="0" w:color="B8944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tcPr>
    </w:tblStylePr>
    <w:tblStylePr w:type="band1Vert">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shd w:val="clear" w:color="auto" w:fill="D2EAF1" w:themeFill="accent5" w:themeFillTint="3F"/>
      </w:tcPr>
    </w:tblStylePr>
    <w:tblStylePr w:type="band1Horz">
      <w:tblPr/>
      <w:tcPr>
        <w:tcBorders>
          <w:top w:val="single" w:sz="8" w:space="0" w:color="B89445" w:themeColor="accent5"/>
          <w:left w:val="single" w:sz="8" w:space="0" w:color="B89445" w:themeColor="accent5"/>
          <w:bottom w:val="single" w:sz="8" w:space="0" w:color="B89445" w:themeColor="accent5"/>
          <w:right w:val="single" w:sz="8" w:space="0" w:color="B89445" w:themeColor="accent5"/>
          <w:insideV w:val="single" w:sz="8" w:space="0" w:color="B89445" w:themeColor="accent5"/>
        </w:tcBorders>
        <w:shd w:val="clear" w:color="auto" w:fill="D2EAF1" w:themeFill="accent5" w:themeFillTint="3F"/>
      </w:tcPr>
    </w:tblStylePr>
    <w:tblStylePr w:type="band2Horz">
      <w:tblPr/>
      <w:tcPr>
        <w:tcBorders>
          <w:top w:val="single" w:sz="8" w:space="0" w:color="B89445" w:themeColor="accent5"/>
          <w:left w:val="single" w:sz="8" w:space="0" w:color="B89445" w:themeColor="accent5"/>
          <w:bottom w:val="single" w:sz="8" w:space="0" w:color="B89445" w:themeColor="accent5"/>
          <w:right w:val="single" w:sz="8" w:space="0" w:color="B89445" w:themeColor="accent5"/>
          <w:insideV w:val="single" w:sz="8" w:space="0" w:color="B8944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single" w:sz="8" w:space="0" w:color="B8944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nil"/>
          <w:insideV w:val="nil"/>
        </w:tcBorders>
        <w:shd w:val="clear" w:color="auto" w:fill="A97B35" w:themeFill="accent1"/>
      </w:tcPr>
    </w:tblStylePr>
    <w:tblStylePr w:type="lastRow">
      <w:pPr>
        <w:spacing w:before="0" w:after="0" w:line="240" w:lineRule="auto"/>
      </w:pPr>
      <w:rPr>
        <w:b/>
        <w:bCs/>
      </w:rPr>
      <w:tblPr/>
      <w:tcPr>
        <w:tcBorders>
          <w:top w:val="double" w:sz="6"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single" w:sz="8" w:space="0" w:color="B89445"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nil"/>
          <w:insideV w:val="nil"/>
        </w:tcBorders>
        <w:shd w:val="clear" w:color="auto" w:fill="B89445" w:themeFill="accent5"/>
      </w:tcPr>
    </w:tblStylePr>
    <w:tblStylePr w:type="lastRow">
      <w:pPr>
        <w:spacing w:before="0" w:after="0" w:line="240" w:lineRule="auto"/>
      </w:pPr>
      <w:rPr>
        <w:b/>
        <w:bCs/>
      </w:rPr>
      <w:tblPr/>
      <w:tcPr>
        <w:tcBorders>
          <w:top w:val="double" w:sz="6"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7B3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7B35" w:themeFill="accent1"/>
      </w:tcPr>
    </w:tblStylePr>
    <w:tblStylePr w:type="lastCol">
      <w:rPr>
        <w:b/>
        <w:bCs/>
        <w:color w:val="FFFFFF" w:themeColor="background1"/>
      </w:rPr>
      <w:tblPr/>
      <w:tcPr>
        <w:tcBorders>
          <w:left w:val="nil"/>
          <w:right w:val="nil"/>
          <w:insideH w:val="nil"/>
          <w:insideV w:val="nil"/>
        </w:tcBorders>
        <w:shd w:val="clear" w:color="auto" w:fill="A97B3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8944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89445" w:themeFill="accent5"/>
      </w:tcPr>
    </w:tblStylePr>
    <w:tblStylePr w:type="lastCol">
      <w:rPr>
        <w:b/>
        <w:bCs/>
        <w:color w:val="FFFFFF" w:themeColor="background1"/>
      </w:rPr>
      <w:tblPr/>
      <w:tcPr>
        <w:tcBorders>
          <w:left w:val="nil"/>
          <w:right w:val="nil"/>
          <w:insideH w:val="nil"/>
          <w:insideV w:val="nil"/>
        </w:tcBorders>
        <w:shd w:val="clear" w:color="auto" w:fill="B8944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8A642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A97B35" w:themeColor="accent1"/>
        <w:bottom w:val="single" w:sz="8" w:space="0" w:color="A97B3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97B35" w:themeColor="accent1"/>
        </w:tcBorders>
      </w:tcPr>
    </w:tblStylePr>
    <w:tblStylePr w:type="lastRow">
      <w:rPr>
        <w:b/>
        <w:bCs/>
        <w:color w:val="8A642C" w:themeColor="text2"/>
      </w:rPr>
      <w:tblPr/>
      <w:tcPr>
        <w:tcBorders>
          <w:top w:val="single" w:sz="8" w:space="0" w:color="A97B35" w:themeColor="accent1"/>
          <w:bottom w:val="single" w:sz="8" w:space="0" w:color="A97B35" w:themeColor="accent1"/>
        </w:tcBorders>
      </w:tcPr>
    </w:tblStylePr>
    <w:tblStylePr w:type="firstCol">
      <w:rPr>
        <w:b/>
        <w:bCs/>
      </w:rPr>
    </w:tblStylePr>
    <w:tblStylePr w:type="lastCol">
      <w:rPr>
        <w:b/>
        <w:bCs/>
      </w:rPr>
      <w:tblPr/>
      <w:tcPr>
        <w:tcBorders>
          <w:top w:val="single" w:sz="8" w:space="0" w:color="A97B35" w:themeColor="accent1"/>
          <w:bottom w:val="single" w:sz="8" w:space="0" w:color="A97B35"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8A642C"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8A642C"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8A642C"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89445" w:themeColor="accent5"/>
        <w:bottom w:val="single" w:sz="8" w:space="0" w:color="B8944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89445" w:themeColor="accent5"/>
        </w:tcBorders>
      </w:tcPr>
    </w:tblStylePr>
    <w:tblStylePr w:type="lastRow">
      <w:rPr>
        <w:b/>
        <w:bCs/>
        <w:color w:val="8A642C" w:themeColor="text2"/>
      </w:rPr>
      <w:tblPr/>
      <w:tcPr>
        <w:tcBorders>
          <w:top w:val="single" w:sz="8" w:space="0" w:color="B89445" w:themeColor="accent5"/>
          <w:bottom w:val="single" w:sz="8" w:space="0" w:color="B89445" w:themeColor="accent5"/>
        </w:tcBorders>
      </w:tcPr>
    </w:tblStylePr>
    <w:tblStylePr w:type="firstCol">
      <w:rPr>
        <w:b/>
        <w:bCs/>
      </w:rPr>
    </w:tblStylePr>
    <w:tblStylePr w:type="lastCol">
      <w:rPr>
        <w:b/>
        <w:bCs/>
      </w:rPr>
      <w:tblPr/>
      <w:tcPr>
        <w:tcBorders>
          <w:top w:val="single" w:sz="8" w:space="0" w:color="B89445" w:themeColor="accent5"/>
          <w:bottom w:val="single" w:sz="8" w:space="0" w:color="B89445"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8A642C"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A97B35" w:themeColor="accent1"/>
          <w:right w:val="nil"/>
          <w:insideH w:val="nil"/>
          <w:insideV w:val="nil"/>
        </w:tcBorders>
        <w:shd w:val="clear" w:color="auto" w:fill="FFFFFF" w:themeFill="background1"/>
      </w:tcPr>
    </w:tblStylePr>
    <w:tblStylePr w:type="lastRow">
      <w:tblPr/>
      <w:tcPr>
        <w:tcBorders>
          <w:top w:val="single" w:sz="8" w:space="0" w:color="A97B3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7B35" w:themeColor="accent1"/>
          <w:insideH w:val="nil"/>
          <w:insideV w:val="nil"/>
        </w:tcBorders>
        <w:shd w:val="clear" w:color="auto" w:fill="FFFFFF" w:themeFill="background1"/>
      </w:tcPr>
    </w:tblStylePr>
    <w:tblStylePr w:type="lastCol">
      <w:tblPr/>
      <w:tcPr>
        <w:tcBorders>
          <w:top w:val="nil"/>
          <w:left w:val="single" w:sz="8" w:space="0" w:color="A97B3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B89445" w:themeColor="accent5"/>
          <w:right w:val="nil"/>
          <w:insideH w:val="nil"/>
          <w:insideV w:val="nil"/>
        </w:tcBorders>
        <w:shd w:val="clear" w:color="auto" w:fill="FFFFFF" w:themeFill="background1"/>
      </w:tcPr>
    </w:tblStylePr>
    <w:tblStylePr w:type="lastRow">
      <w:tblPr/>
      <w:tcPr>
        <w:tcBorders>
          <w:top w:val="single" w:sz="8" w:space="0" w:color="B8944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89445" w:themeColor="accent5"/>
          <w:insideH w:val="nil"/>
          <w:insideV w:val="nil"/>
        </w:tcBorders>
        <w:shd w:val="clear" w:color="auto" w:fill="FFFFFF" w:themeFill="background1"/>
      </w:tcPr>
    </w:tblStylePr>
    <w:tblStylePr w:type="lastCol">
      <w:tblPr/>
      <w:tcPr>
        <w:tcBorders>
          <w:top w:val="nil"/>
          <w:left w:val="single" w:sz="8" w:space="0" w:color="B8944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single" w:sz="8" w:space="0" w:color="B89445" w:themeColor="accent1" w:themeTint="BF"/>
        <w:insideV w:val="single" w:sz="8" w:space="0" w:color="B89445"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B89445" w:themeColor="accent1" w:themeTint="BF"/>
        </w:tcBorders>
      </w:tcPr>
    </w:tblStylePr>
    <w:tblStylePr w:type="firstCol">
      <w:rPr>
        <w:b/>
        <w:bCs/>
      </w:rPr>
    </w:tblStylePr>
    <w:tblStylePr w:type="lastCol">
      <w:rPr>
        <w:b/>
        <w:bCs/>
      </w:rPr>
    </w:tblStylePr>
    <w:tblStylePr w:type="band1Vert">
      <w:tblPr/>
      <w:tcPr>
        <w:shd w:val="clear" w:color="auto" w:fill="D4B77A" w:themeFill="accent1" w:themeFillTint="7F"/>
      </w:tcPr>
    </w:tblStylePr>
    <w:tblStylePr w:type="band1Horz">
      <w:tblPr/>
      <w:tcPr>
        <w:shd w:val="clear" w:color="auto" w:fill="D4B77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single" w:sz="8" w:space="0" w:color="B89445" w:themeColor="accent5" w:themeTint="BF"/>
        <w:insideV w:val="single" w:sz="8" w:space="0" w:color="B89445"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B89445" w:themeColor="accent5" w:themeTint="BF"/>
        </w:tcBorders>
      </w:tcPr>
    </w:tblStylePr>
    <w:tblStylePr w:type="firstCol">
      <w:rPr>
        <w:b/>
        <w:bCs/>
      </w:rPr>
    </w:tblStylePr>
    <w:tblStylePr w:type="lastCol">
      <w:rPr>
        <w:b/>
        <w:bCs/>
      </w:rPr>
    </w:tblStylePr>
    <w:tblStylePr w:type="band1Vert">
      <w:tblPr/>
      <w:tcPr>
        <w:shd w:val="clear" w:color="auto" w:fill="D4B77A" w:themeFill="accent5" w:themeFillTint="7F"/>
      </w:tcPr>
    </w:tblStylePr>
    <w:tblStylePr w:type="band1Horz">
      <w:tblPr/>
      <w:tcPr>
        <w:shd w:val="clear" w:color="auto" w:fill="D4B77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insideH w:val="single" w:sz="8" w:space="0" w:color="A97B35" w:themeColor="accent1"/>
        <w:insideV w:val="single" w:sz="8" w:space="0" w:color="A97B35"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D4B77A" w:themeFill="accent1" w:themeFillTint="7F"/>
      </w:tcPr>
    </w:tblStylePr>
    <w:tblStylePr w:type="band1Horz">
      <w:tblPr/>
      <w:tcPr>
        <w:tcBorders>
          <w:insideH w:val="single" w:sz="6" w:space="0" w:color="A97B35" w:themeColor="accent1"/>
          <w:insideV w:val="single" w:sz="6" w:space="0" w:color="A97B35" w:themeColor="accent1"/>
        </w:tcBorders>
        <w:shd w:val="clear" w:color="auto" w:fill="D4B7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insideH w:val="single" w:sz="8" w:space="0" w:color="B89445" w:themeColor="accent5"/>
        <w:insideV w:val="single" w:sz="8" w:space="0" w:color="B89445"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D4B77A" w:themeFill="accent5" w:themeFillTint="7F"/>
      </w:tcPr>
    </w:tblStylePr>
    <w:tblStylePr w:type="band1Horz">
      <w:tblPr/>
      <w:tcPr>
        <w:tcBorders>
          <w:insideH w:val="single" w:sz="6" w:space="0" w:color="B89445" w:themeColor="accent5"/>
          <w:insideV w:val="single" w:sz="6" w:space="0" w:color="B89445" w:themeColor="accent5"/>
        </w:tcBorders>
        <w:shd w:val="clear" w:color="auto" w:fill="D4B77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7B3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7B3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7B3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7B3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7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77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8944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8944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8944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8944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77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77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97B3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642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97B3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97B35" w:themeFill="accent1" w:themeFillShade="BF"/>
      </w:tcPr>
    </w:tblStylePr>
    <w:tblStylePr w:type="band1Vert">
      <w:tblPr/>
      <w:tcPr>
        <w:tcBorders>
          <w:top w:val="nil"/>
          <w:left w:val="nil"/>
          <w:bottom w:val="nil"/>
          <w:right w:val="nil"/>
          <w:insideH w:val="nil"/>
          <w:insideV w:val="nil"/>
        </w:tcBorders>
        <w:shd w:val="clear" w:color="auto" w:fill="A97B35" w:themeFill="accent1" w:themeFillShade="BF"/>
      </w:tcPr>
    </w:tblStylePr>
    <w:tblStylePr w:type="band1Horz">
      <w:tblPr/>
      <w:tcPr>
        <w:tcBorders>
          <w:top w:val="nil"/>
          <w:left w:val="nil"/>
          <w:bottom w:val="nil"/>
          <w:right w:val="nil"/>
          <w:insideH w:val="nil"/>
          <w:insideV w:val="nil"/>
        </w:tcBorders>
        <w:shd w:val="clear" w:color="auto" w:fill="A97B3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8944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642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97B3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97B35" w:themeFill="accent5" w:themeFillShade="BF"/>
      </w:tcPr>
    </w:tblStylePr>
    <w:tblStylePr w:type="band1Vert">
      <w:tblPr/>
      <w:tcPr>
        <w:tcBorders>
          <w:top w:val="nil"/>
          <w:left w:val="nil"/>
          <w:bottom w:val="nil"/>
          <w:right w:val="nil"/>
          <w:insideH w:val="nil"/>
          <w:insideV w:val="nil"/>
        </w:tcBorders>
        <w:shd w:val="clear" w:color="auto" w:fill="A97B35" w:themeFill="accent5" w:themeFillShade="BF"/>
      </w:tcPr>
    </w:tblStylePr>
    <w:tblStylePr w:type="band1Horz">
      <w:tblPr/>
      <w:tcPr>
        <w:tcBorders>
          <w:top w:val="nil"/>
          <w:left w:val="nil"/>
          <w:bottom w:val="nil"/>
          <w:right w:val="nil"/>
          <w:insideH w:val="nil"/>
          <w:insideV w:val="nil"/>
        </w:tcBorders>
        <w:shd w:val="clear" w:color="auto" w:fill="A97B3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A97B35" w:themeColor="accent1"/>
        <w:bottom w:val="single" w:sz="4" w:space="0" w:color="A97B35" w:themeColor="accent1"/>
        <w:right w:val="single" w:sz="4" w:space="0" w:color="A97B3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642C" w:themeFill="accent1" w:themeFillShade="99"/>
      </w:tcPr>
    </w:tblStylePr>
    <w:tblStylePr w:type="firstCol">
      <w:rPr>
        <w:color w:val="FFFFFF" w:themeColor="background1"/>
      </w:rPr>
      <w:tblPr/>
      <w:tcPr>
        <w:tcBorders>
          <w:top w:val="nil"/>
          <w:left w:val="nil"/>
          <w:bottom w:val="nil"/>
          <w:right w:val="nil"/>
          <w:insideH w:val="single" w:sz="4" w:space="0" w:color="8A642C" w:themeColor="accent1" w:themeShade="99"/>
          <w:insideV w:val="nil"/>
        </w:tcBorders>
        <w:shd w:val="clear" w:color="auto" w:fill="8A642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A642C" w:themeFill="accent1" w:themeFillShade="99"/>
      </w:tcPr>
    </w:tblStylePr>
    <w:tblStylePr w:type="band1Vert">
      <w:tblPr/>
      <w:tcPr>
        <w:shd w:val="clear" w:color="auto" w:fill="D4B77A" w:themeFill="accent1" w:themeFillTint="66"/>
      </w:tcPr>
    </w:tblStylePr>
    <w:tblStylePr w:type="band1Horz">
      <w:tblPr/>
      <w:tcPr>
        <w:shd w:val="clear" w:color="auto" w:fill="D4B7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B89445" w:themeColor="accent5"/>
        <w:bottom w:val="single" w:sz="4" w:space="0" w:color="B89445" w:themeColor="accent5"/>
        <w:right w:val="single" w:sz="4" w:space="0" w:color="B8944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7B35" w:themeFill="accent5" w:themeFillShade="99"/>
      </w:tcPr>
    </w:tblStylePr>
    <w:tblStylePr w:type="firstCol">
      <w:rPr>
        <w:color w:val="FFFFFF" w:themeColor="background1"/>
      </w:rPr>
      <w:tblPr/>
      <w:tcPr>
        <w:tcBorders>
          <w:top w:val="nil"/>
          <w:left w:val="nil"/>
          <w:bottom w:val="nil"/>
          <w:right w:val="nil"/>
          <w:insideH w:val="single" w:sz="4" w:space="0" w:color="A97B35" w:themeColor="accent5" w:themeShade="99"/>
          <w:insideV w:val="nil"/>
        </w:tcBorders>
        <w:shd w:val="clear" w:color="auto" w:fill="A97B3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97B35" w:themeFill="accent5" w:themeFillShade="99"/>
      </w:tcPr>
    </w:tblStylePr>
    <w:tblStylePr w:type="band1Vert">
      <w:tblPr/>
      <w:tcPr>
        <w:shd w:val="clear" w:color="auto" w:fill="D4B77A" w:themeFill="accent5" w:themeFillTint="66"/>
      </w:tcPr>
    </w:tblStylePr>
    <w:tblStylePr w:type="band1Horz">
      <w:tblPr/>
      <w:tcPr>
        <w:shd w:val="clear" w:color="auto" w:fill="D4B77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89445"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B8944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A97B35" w:themeFill="accent5" w:themeFillShade="CC"/>
      </w:tcPr>
    </w:tblStylePr>
    <w:tblStylePr w:type="lastRow">
      <w:rPr>
        <w:b/>
        <w:bCs/>
        <w:color w:val="A97B3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D4B77A" w:themeFill="accent1" w:themeFillTint="66"/>
      </w:tcPr>
    </w:tblStylePr>
    <w:tblStylePr w:type="lastRow">
      <w:rPr>
        <w:b/>
        <w:bCs/>
        <w:color w:val="000000" w:themeColor="text1"/>
      </w:rPr>
      <w:tblPr/>
      <w:tcPr>
        <w:shd w:val="clear" w:color="auto" w:fill="D4B77A" w:themeFill="accent1" w:themeFillTint="66"/>
      </w:tcPr>
    </w:tblStylePr>
    <w:tblStylePr w:type="firstCol">
      <w:rPr>
        <w:color w:val="FFFFFF" w:themeColor="background1"/>
      </w:rPr>
      <w:tblPr/>
      <w:tcPr>
        <w:shd w:val="clear" w:color="auto" w:fill="A97B35" w:themeFill="accent1" w:themeFillShade="BF"/>
      </w:tcPr>
    </w:tblStylePr>
    <w:tblStylePr w:type="lastCol">
      <w:rPr>
        <w:color w:val="FFFFFF" w:themeColor="background1"/>
      </w:rPr>
      <w:tblPr/>
      <w:tcPr>
        <w:shd w:val="clear" w:color="auto" w:fill="A97B35" w:themeFill="accent1" w:themeFillShade="BF"/>
      </w:tcPr>
    </w:tblStylePr>
    <w:tblStylePr w:type="band1Vert">
      <w:tblPr/>
      <w:tcPr>
        <w:shd w:val="clear" w:color="auto" w:fill="D4B77A" w:themeFill="accent1" w:themeFillTint="7F"/>
      </w:tcPr>
    </w:tblStylePr>
    <w:tblStylePr w:type="band1Horz">
      <w:tblPr/>
      <w:tcPr>
        <w:shd w:val="clear" w:color="auto" w:fill="D4B77A"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D4B77A" w:themeFill="accent5" w:themeFillTint="66"/>
      </w:tcPr>
    </w:tblStylePr>
    <w:tblStylePr w:type="lastRow">
      <w:rPr>
        <w:b/>
        <w:bCs/>
        <w:color w:val="000000" w:themeColor="text1"/>
      </w:rPr>
      <w:tblPr/>
      <w:tcPr>
        <w:shd w:val="clear" w:color="auto" w:fill="D4B77A" w:themeFill="accent5" w:themeFillTint="66"/>
      </w:tcPr>
    </w:tblStylePr>
    <w:tblStylePr w:type="firstCol">
      <w:rPr>
        <w:color w:val="FFFFFF" w:themeColor="background1"/>
      </w:rPr>
      <w:tblPr/>
      <w:tcPr>
        <w:shd w:val="clear" w:color="auto" w:fill="A97B35" w:themeFill="accent5" w:themeFillShade="BF"/>
      </w:tcPr>
    </w:tblStylePr>
    <w:tblStylePr w:type="lastCol">
      <w:rPr>
        <w:color w:val="FFFFFF" w:themeColor="background1"/>
      </w:rPr>
      <w:tblPr/>
      <w:tcPr>
        <w:shd w:val="clear" w:color="auto" w:fill="A97B35" w:themeFill="accent5" w:themeFillShade="BF"/>
      </w:tcPr>
    </w:tblStylePr>
    <w:tblStylePr w:type="band1Vert">
      <w:tblPr/>
      <w:tcPr>
        <w:shd w:val="clear" w:color="auto" w:fill="D4B77A" w:themeFill="accent5" w:themeFillTint="7F"/>
      </w:tcPr>
    </w:tblStylePr>
    <w:tblStylePr w:type="band1Horz">
      <w:tblPr/>
      <w:tcPr>
        <w:shd w:val="clear" w:color="auto" w:fill="D4B77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80"/>
    </w:pPr>
    <w:rPr>
      <w:rFonts w:ascii="Aptos" w:hAnsi="Aptos"/>
      <w:b w:val="0"/>
      <w:color w:val="667069"/>
      <w:sz w:val="22"/>
    </w:rPr>
  </w:style>
  <w:style w:type="paragraph" w:customStyle="1" w:styleId="Small">
    <w:name w:val="Small"/>
    <w:pPr>
      <w:spacing w:after="80"/>
    </w:pPr>
    <w:rPr>
      <w:rFonts w:ascii="Aptos" w:hAnsi="Aptos"/>
      <w:b w:val="0"/>
      <w:color w:val="667069"/>
      <w:sz w:val="16"/>
    </w:rPr>
  </w:style>
  <w:style w:type="paragraph" w:customStyle="1" w:styleId="Callout">
    <w:name w:val="Callout"/>
    <w:pPr>
      <w:spacing w:after="80"/>
    </w:pPr>
    <w:rPr>
      <w:rFonts w:ascii="Aptos" w:hAnsi="Aptos"/>
      <w:b/>
      <w:color w:val="2F4A3A"/>
      <w:sz w:val="18"/>
    </w:rPr>
  </w:style>
  <w:style w:type="paragraph" w:customStyle="1" w:styleId="Checklist">
    <w:name w:val="Checklist"/>
    <w:pPr>
      <w:spacing w:after="80"/>
    </w:pPr>
    <w:rPr>
      <w:rFonts w:ascii="Aptos" w:hAnsi="Aptos"/>
      <w:b w:val="0"/>
      <w:color w:val="1F292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97B3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97B35"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97B35"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97B35"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8A642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8A642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97B35"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97B3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97B35"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97B35" w:themeColor="accent1"/>
    </w:rPr>
  </w:style>
  <w:style w:type="paragraph" w:styleId="Title">
    <w:name w:val="Title"/>
    <w:basedOn w:val="Normal"/>
    <w:next w:val="Normal"/>
    <w:link w:val="TitleChar"/>
    <w:uiPriority w:val="10"/>
    <w:qFormat/>
    <w:rsid w:val="00FC693F"/>
    <w:pPr>
      <w:pBdr>
        <w:bottom w:val="single" w:sz="8" w:space="4" w:color="A97B35" w:themeColor="accent1"/>
      </w:pBdr>
      <w:spacing w:after="300" w:line="240" w:lineRule="auto"/>
      <w:contextualSpacing/>
    </w:pPr>
    <w:rPr>
      <w:rFonts w:asciiTheme="majorHAnsi" w:eastAsiaTheme="majorEastAsia" w:hAnsiTheme="majorHAnsi" w:cstheme="majorBidi"/>
      <w:color w:val="8A642C"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8A642C"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A97B35"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97B35"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97B35"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8A642C"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8A642C"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97B35"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A97B35"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A97B35" w:themeColor="accent1"/>
      </w:pBdr>
      <w:spacing w:before="200" w:after="280"/>
      <w:ind w:left="936" w:right="936"/>
    </w:pPr>
    <w:rPr>
      <w:b/>
      <w:bCs/>
      <w:i/>
      <w:iCs/>
      <w:color w:val="A97B35" w:themeColor="accent1"/>
    </w:rPr>
  </w:style>
  <w:style w:type="character" w:customStyle="1" w:styleId="IntenseQuoteChar">
    <w:name w:val="Intense Quote Char"/>
    <w:basedOn w:val="DefaultParagraphFont"/>
    <w:link w:val="IntenseQuote"/>
    <w:uiPriority w:val="30"/>
    <w:rsid w:val="00FC693F"/>
    <w:rPr>
      <w:b/>
      <w:bCs/>
      <w:i/>
      <w:iCs/>
      <w:color w:val="A97B35"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97B35"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97B35" w:themeColor="accent1" w:themeShade="BF"/>
    </w:rPr>
    <w:tblPr>
      <w:tblStyleRowBandSize w:val="1"/>
      <w:tblStyleColBandSize w:val="1"/>
      <w:tblInd w:w="0" w:type="dxa"/>
      <w:tblBorders>
        <w:top w:val="single" w:sz="8" w:space="0" w:color="A97B35" w:themeColor="accent1"/>
        <w:bottom w:val="single" w:sz="8" w:space="0" w:color="A97B3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97B35" w:themeColor="accent1"/>
          <w:left w:val="nil"/>
          <w:bottom w:val="single" w:sz="8" w:space="0" w:color="A97B35" w:themeColor="accent1"/>
          <w:right w:val="nil"/>
          <w:insideH w:val="nil"/>
          <w:insideV w:val="nil"/>
        </w:tcBorders>
      </w:tcPr>
    </w:tblStylePr>
    <w:tblStylePr w:type="lastRow">
      <w:pPr>
        <w:spacing w:before="0" w:after="0" w:line="240" w:lineRule="auto"/>
      </w:pPr>
      <w:rPr>
        <w:b/>
        <w:bCs/>
      </w:rPr>
      <w:tblPr/>
      <w:tcPr>
        <w:tcBorders>
          <w:top w:val="single" w:sz="8" w:space="0" w:color="A97B35" w:themeColor="accent1"/>
          <w:left w:val="nil"/>
          <w:bottom w:val="single" w:sz="8" w:space="0" w:color="A97B3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A97B35" w:themeColor="accent5" w:themeShade="BF"/>
    </w:rPr>
    <w:tblPr>
      <w:tblStyleRowBandSize w:val="1"/>
      <w:tblStyleColBandSize w:val="1"/>
      <w:tblInd w:w="0" w:type="dxa"/>
      <w:tblBorders>
        <w:top w:val="single" w:sz="8" w:space="0" w:color="B89445" w:themeColor="accent5"/>
        <w:bottom w:val="single" w:sz="8" w:space="0" w:color="B8944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89445" w:themeColor="accent5"/>
          <w:left w:val="nil"/>
          <w:bottom w:val="single" w:sz="8" w:space="0" w:color="B89445" w:themeColor="accent5"/>
          <w:right w:val="nil"/>
          <w:insideH w:val="nil"/>
          <w:insideV w:val="nil"/>
        </w:tcBorders>
      </w:tcPr>
    </w:tblStylePr>
    <w:tblStylePr w:type="lastRow">
      <w:pPr>
        <w:spacing w:before="0" w:after="0" w:line="240" w:lineRule="auto"/>
      </w:pPr>
      <w:rPr>
        <w:b/>
        <w:bCs/>
      </w:rPr>
      <w:tblPr/>
      <w:tcPr>
        <w:tcBorders>
          <w:top w:val="single" w:sz="8" w:space="0" w:color="B89445" w:themeColor="accent5"/>
          <w:left w:val="nil"/>
          <w:bottom w:val="single" w:sz="8" w:space="0" w:color="B8944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97B35" w:themeFill="accent1"/>
      </w:tcPr>
    </w:tblStylePr>
    <w:tblStylePr w:type="lastRow">
      <w:pPr>
        <w:spacing w:before="0" w:after="0" w:line="240" w:lineRule="auto"/>
      </w:pPr>
      <w:rPr>
        <w:b/>
        <w:bCs/>
      </w:rPr>
      <w:tblPr/>
      <w:tcPr>
        <w:tcBorders>
          <w:top w:val="double" w:sz="6" w:space="0" w:color="A97B35" w:themeColor="accent1"/>
          <w:left w:val="single" w:sz="8" w:space="0" w:color="A97B35" w:themeColor="accent1"/>
          <w:bottom w:val="single" w:sz="8" w:space="0" w:color="A97B35" w:themeColor="accent1"/>
          <w:right w:val="single" w:sz="8" w:space="0" w:color="A97B35" w:themeColor="accent1"/>
        </w:tcBorders>
      </w:tcPr>
    </w:tblStylePr>
    <w:tblStylePr w:type="firstCol">
      <w:rPr>
        <w:b/>
        <w:bCs/>
      </w:rPr>
    </w:tblStylePr>
    <w:tblStylePr w:type="lastCol">
      <w:rPr>
        <w:b/>
        <w:bCs/>
      </w:rPr>
    </w:tblStylePr>
    <w:tblStylePr w:type="band1Vert">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tcPr>
    </w:tblStylePr>
    <w:tblStylePr w:type="band1Horz">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89445" w:themeFill="accent5"/>
      </w:tcPr>
    </w:tblStylePr>
    <w:tblStylePr w:type="lastRow">
      <w:pPr>
        <w:spacing w:before="0" w:after="0" w:line="240" w:lineRule="auto"/>
      </w:pPr>
      <w:rPr>
        <w:b/>
        <w:bCs/>
      </w:rPr>
      <w:tblPr/>
      <w:tcPr>
        <w:tcBorders>
          <w:top w:val="double" w:sz="6" w:space="0" w:color="B89445" w:themeColor="accent5"/>
          <w:left w:val="single" w:sz="8" w:space="0" w:color="B89445" w:themeColor="accent5"/>
          <w:bottom w:val="single" w:sz="8" w:space="0" w:color="B89445" w:themeColor="accent5"/>
          <w:right w:val="single" w:sz="8" w:space="0" w:color="B89445" w:themeColor="accent5"/>
        </w:tcBorders>
      </w:tcPr>
    </w:tblStylePr>
    <w:tblStylePr w:type="firstCol">
      <w:rPr>
        <w:b/>
        <w:bCs/>
      </w:rPr>
    </w:tblStylePr>
    <w:tblStylePr w:type="lastCol">
      <w:rPr>
        <w:b/>
        <w:bCs/>
      </w:rPr>
    </w:tblStylePr>
    <w:tblStylePr w:type="band1Vert">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tcPr>
    </w:tblStylePr>
    <w:tblStylePr w:type="band1Horz">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insideH w:val="single" w:sz="8" w:space="0" w:color="A97B35" w:themeColor="accent1"/>
        <w:insideV w:val="single" w:sz="8" w:space="0" w:color="A97B3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97B35" w:themeColor="accent1"/>
          <w:left w:val="single" w:sz="8" w:space="0" w:color="A97B35" w:themeColor="accent1"/>
          <w:bottom w:val="single" w:sz="18" w:space="0" w:color="A97B35" w:themeColor="accent1"/>
          <w:right w:val="single" w:sz="8" w:space="0" w:color="A97B35" w:themeColor="accent1"/>
          <w:insideH w:val="nil"/>
          <w:insideV w:val="single" w:sz="8" w:space="0" w:color="A97B3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7B35" w:themeColor="accent1"/>
          <w:left w:val="single" w:sz="8" w:space="0" w:color="A97B35" w:themeColor="accent1"/>
          <w:bottom w:val="single" w:sz="8" w:space="0" w:color="A97B35" w:themeColor="accent1"/>
          <w:right w:val="single" w:sz="8" w:space="0" w:color="A97B35" w:themeColor="accent1"/>
          <w:insideH w:val="nil"/>
          <w:insideV w:val="single" w:sz="8" w:space="0" w:color="A97B3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tcPr>
    </w:tblStylePr>
    <w:tblStylePr w:type="band1Vert">
      <w:tblPr/>
      <w:tcPr>
        <w:tcBorders>
          <w:top w:val="single" w:sz="8" w:space="0" w:color="A97B35" w:themeColor="accent1"/>
          <w:left w:val="single" w:sz="8" w:space="0" w:color="A97B35" w:themeColor="accent1"/>
          <w:bottom w:val="single" w:sz="8" w:space="0" w:color="A97B35" w:themeColor="accent1"/>
          <w:right w:val="single" w:sz="8" w:space="0" w:color="A97B35" w:themeColor="accent1"/>
        </w:tcBorders>
        <w:shd w:val="clear" w:color="auto" w:fill="D3DFEE" w:themeFill="accent1" w:themeFillTint="3F"/>
      </w:tcPr>
    </w:tblStylePr>
    <w:tblStylePr w:type="band1Horz">
      <w:tblPr/>
      <w:tcPr>
        <w:tcBorders>
          <w:top w:val="single" w:sz="8" w:space="0" w:color="A97B35" w:themeColor="accent1"/>
          <w:left w:val="single" w:sz="8" w:space="0" w:color="A97B35" w:themeColor="accent1"/>
          <w:bottom w:val="single" w:sz="8" w:space="0" w:color="A97B35" w:themeColor="accent1"/>
          <w:right w:val="single" w:sz="8" w:space="0" w:color="A97B35" w:themeColor="accent1"/>
          <w:insideV w:val="single" w:sz="8" w:space="0" w:color="A97B35" w:themeColor="accent1"/>
        </w:tcBorders>
        <w:shd w:val="clear" w:color="auto" w:fill="D3DFEE" w:themeFill="accent1" w:themeFillTint="3F"/>
      </w:tcPr>
    </w:tblStylePr>
    <w:tblStylePr w:type="band2Horz">
      <w:tblPr/>
      <w:tcPr>
        <w:tcBorders>
          <w:top w:val="single" w:sz="8" w:space="0" w:color="A97B35" w:themeColor="accent1"/>
          <w:left w:val="single" w:sz="8" w:space="0" w:color="A97B35" w:themeColor="accent1"/>
          <w:bottom w:val="single" w:sz="8" w:space="0" w:color="A97B35" w:themeColor="accent1"/>
          <w:right w:val="single" w:sz="8" w:space="0" w:color="A97B35" w:themeColor="accent1"/>
          <w:insideV w:val="single" w:sz="8" w:space="0" w:color="A97B35"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insideH w:val="single" w:sz="8" w:space="0" w:color="B89445" w:themeColor="accent5"/>
        <w:insideV w:val="single" w:sz="8" w:space="0" w:color="B8944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89445" w:themeColor="accent5"/>
          <w:left w:val="single" w:sz="8" w:space="0" w:color="B89445" w:themeColor="accent5"/>
          <w:bottom w:val="single" w:sz="18" w:space="0" w:color="B89445" w:themeColor="accent5"/>
          <w:right w:val="single" w:sz="8" w:space="0" w:color="B89445" w:themeColor="accent5"/>
          <w:insideH w:val="nil"/>
          <w:insideV w:val="single" w:sz="8" w:space="0" w:color="B8944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9445" w:themeColor="accent5"/>
          <w:left w:val="single" w:sz="8" w:space="0" w:color="B89445" w:themeColor="accent5"/>
          <w:bottom w:val="single" w:sz="8" w:space="0" w:color="B89445" w:themeColor="accent5"/>
          <w:right w:val="single" w:sz="8" w:space="0" w:color="B89445" w:themeColor="accent5"/>
          <w:insideH w:val="nil"/>
          <w:insideV w:val="single" w:sz="8" w:space="0" w:color="B8944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tcPr>
    </w:tblStylePr>
    <w:tblStylePr w:type="band1Vert">
      <w:tblPr/>
      <w:tcPr>
        <w:tcBorders>
          <w:top w:val="single" w:sz="8" w:space="0" w:color="B89445" w:themeColor="accent5"/>
          <w:left w:val="single" w:sz="8" w:space="0" w:color="B89445" w:themeColor="accent5"/>
          <w:bottom w:val="single" w:sz="8" w:space="0" w:color="B89445" w:themeColor="accent5"/>
          <w:right w:val="single" w:sz="8" w:space="0" w:color="B89445" w:themeColor="accent5"/>
        </w:tcBorders>
        <w:shd w:val="clear" w:color="auto" w:fill="D2EAF1" w:themeFill="accent5" w:themeFillTint="3F"/>
      </w:tcPr>
    </w:tblStylePr>
    <w:tblStylePr w:type="band1Horz">
      <w:tblPr/>
      <w:tcPr>
        <w:tcBorders>
          <w:top w:val="single" w:sz="8" w:space="0" w:color="B89445" w:themeColor="accent5"/>
          <w:left w:val="single" w:sz="8" w:space="0" w:color="B89445" w:themeColor="accent5"/>
          <w:bottom w:val="single" w:sz="8" w:space="0" w:color="B89445" w:themeColor="accent5"/>
          <w:right w:val="single" w:sz="8" w:space="0" w:color="B89445" w:themeColor="accent5"/>
          <w:insideV w:val="single" w:sz="8" w:space="0" w:color="B89445" w:themeColor="accent5"/>
        </w:tcBorders>
        <w:shd w:val="clear" w:color="auto" w:fill="D2EAF1" w:themeFill="accent5" w:themeFillTint="3F"/>
      </w:tcPr>
    </w:tblStylePr>
    <w:tblStylePr w:type="band2Horz">
      <w:tblPr/>
      <w:tcPr>
        <w:tcBorders>
          <w:top w:val="single" w:sz="8" w:space="0" w:color="B89445" w:themeColor="accent5"/>
          <w:left w:val="single" w:sz="8" w:space="0" w:color="B89445" w:themeColor="accent5"/>
          <w:bottom w:val="single" w:sz="8" w:space="0" w:color="B89445" w:themeColor="accent5"/>
          <w:right w:val="single" w:sz="8" w:space="0" w:color="B89445" w:themeColor="accent5"/>
          <w:insideV w:val="single" w:sz="8" w:space="0" w:color="B8944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single" w:sz="8" w:space="0" w:color="B8944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nil"/>
          <w:insideV w:val="nil"/>
        </w:tcBorders>
        <w:shd w:val="clear" w:color="auto" w:fill="A97B35" w:themeFill="accent1"/>
      </w:tcPr>
    </w:tblStylePr>
    <w:tblStylePr w:type="lastRow">
      <w:pPr>
        <w:spacing w:before="0" w:after="0" w:line="240" w:lineRule="auto"/>
      </w:pPr>
      <w:rPr>
        <w:b/>
        <w:bCs/>
      </w:rPr>
      <w:tblPr/>
      <w:tcPr>
        <w:tcBorders>
          <w:top w:val="double" w:sz="6"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single" w:sz="8" w:space="0" w:color="B89445"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nil"/>
          <w:insideV w:val="nil"/>
        </w:tcBorders>
        <w:shd w:val="clear" w:color="auto" w:fill="B89445" w:themeFill="accent5"/>
      </w:tcPr>
    </w:tblStylePr>
    <w:tblStylePr w:type="lastRow">
      <w:pPr>
        <w:spacing w:before="0" w:after="0" w:line="240" w:lineRule="auto"/>
      </w:pPr>
      <w:rPr>
        <w:b/>
        <w:bCs/>
      </w:rPr>
      <w:tblPr/>
      <w:tcPr>
        <w:tcBorders>
          <w:top w:val="double" w:sz="6"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7B3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7B35" w:themeFill="accent1"/>
      </w:tcPr>
    </w:tblStylePr>
    <w:tblStylePr w:type="lastCol">
      <w:rPr>
        <w:b/>
        <w:bCs/>
        <w:color w:val="FFFFFF" w:themeColor="background1"/>
      </w:rPr>
      <w:tblPr/>
      <w:tcPr>
        <w:tcBorders>
          <w:left w:val="nil"/>
          <w:right w:val="nil"/>
          <w:insideH w:val="nil"/>
          <w:insideV w:val="nil"/>
        </w:tcBorders>
        <w:shd w:val="clear" w:color="auto" w:fill="A97B3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8944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89445" w:themeFill="accent5"/>
      </w:tcPr>
    </w:tblStylePr>
    <w:tblStylePr w:type="lastCol">
      <w:rPr>
        <w:b/>
        <w:bCs/>
        <w:color w:val="FFFFFF" w:themeColor="background1"/>
      </w:rPr>
      <w:tblPr/>
      <w:tcPr>
        <w:tcBorders>
          <w:left w:val="nil"/>
          <w:right w:val="nil"/>
          <w:insideH w:val="nil"/>
          <w:insideV w:val="nil"/>
        </w:tcBorders>
        <w:shd w:val="clear" w:color="auto" w:fill="B8944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8A642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A97B35" w:themeColor="accent1"/>
        <w:bottom w:val="single" w:sz="8" w:space="0" w:color="A97B3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97B35" w:themeColor="accent1"/>
        </w:tcBorders>
      </w:tcPr>
    </w:tblStylePr>
    <w:tblStylePr w:type="lastRow">
      <w:rPr>
        <w:b/>
        <w:bCs/>
        <w:color w:val="8A642C" w:themeColor="text2"/>
      </w:rPr>
      <w:tblPr/>
      <w:tcPr>
        <w:tcBorders>
          <w:top w:val="single" w:sz="8" w:space="0" w:color="A97B35" w:themeColor="accent1"/>
          <w:bottom w:val="single" w:sz="8" w:space="0" w:color="A97B35" w:themeColor="accent1"/>
        </w:tcBorders>
      </w:tcPr>
    </w:tblStylePr>
    <w:tblStylePr w:type="firstCol">
      <w:rPr>
        <w:b/>
        <w:bCs/>
      </w:rPr>
    </w:tblStylePr>
    <w:tblStylePr w:type="lastCol">
      <w:rPr>
        <w:b/>
        <w:bCs/>
      </w:rPr>
      <w:tblPr/>
      <w:tcPr>
        <w:tcBorders>
          <w:top w:val="single" w:sz="8" w:space="0" w:color="A97B35" w:themeColor="accent1"/>
          <w:bottom w:val="single" w:sz="8" w:space="0" w:color="A97B35"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8A642C"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8A642C"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8A642C"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89445" w:themeColor="accent5"/>
        <w:bottom w:val="single" w:sz="8" w:space="0" w:color="B8944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89445" w:themeColor="accent5"/>
        </w:tcBorders>
      </w:tcPr>
    </w:tblStylePr>
    <w:tblStylePr w:type="lastRow">
      <w:rPr>
        <w:b/>
        <w:bCs/>
        <w:color w:val="8A642C" w:themeColor="text2"/>
      </w:rPr>
      <w:tblPr/>
      <w:tcPr>
        <w:tcBorders>
          <w:top w:val="single" w:sz="8" w:space="0" w:color="B89445" w:themeColor="accent5"/>
          <w:bottom w:val="single" w:sz="8" w:space="0" w:color="B89445" w:themeColor="accent5"/>
        </w:tcBorders>
      </w:tcPr>
    </w:tblStylePr>
    <w:tblStylePr w:type="firstCol">
      <w:rPr>
        <w:b/>
        <w:bCs/>
      </w:rPr>
    </w:tblStylePr>
    <w:tblStylePr w:type="lastCol">
      <w:rPr>
        <w:b/>
        <w:bCs/>
      </w:rPr>
      <w:tblPr/>
      <w:tcPr>
        <w:tcBorders>
          <w:top w:val="single" w:sz="8" w:space="0" w:color="B89445" w:themeColor="accent5"/>
          <w:bottom w:val="single" w:sz="8" w:space="0" w:color="B89445"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8A642C"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A97B35" w:themeColor="accent1"/>
          <w:right w:val="nil"/>
          <w:insideH w:val="nil"/>
          <w:insideV w:val="nil"/>
        </w:tcBorders>
        <w:shd w:val="clear" w:color="auto" w:fill="FFFFFF" w:themeFill="background1"/>
      </w:tcPr>
    </w:tblStylePr>
    <w:tblStylePr w:type="lastRow">
      <w:tblPr/>
      <w:tcPr>
        <w:tcBorders>
          <w:top w:val="single" w:sz="8" w:space="0" w:color="A97B3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7B35" w:themeColor="accent1"/>
          <w:insideH w:val="nil"/>
          <w:insideV w:val="nil"/>
        </w:tcBorders>
        <w:shd w:val="clear" w:color="auto" w:fill="FFFFFF" w:themeFill="background1"/>
      </w:tcPr>
    </w:tblStylePr>
    <w:tblStylePr w:type="lastCol">
      <w:tblPr/>
      <w:tcPr>
        <w:tcBorders>
          <w:top w:val="nil"/>
          <w:left w:val="single" w:sz="8" w:space="0" w:color="A97B3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B89445" w:themeColor="accent5"/>
          <w:right w:val="nil"/>
          <w:insideH w:val="nil"/>
          <w:insideV w:val="nil"/>
        </w:tcBorders>
        <w:shd w:val="clear" w:color="auto" w:fill="FFFFFF" w:themeFill="background1"/>
      </w:tcPr>
    </w:tblStylePr>
    <w:tblStylePr w:type="lastRow">
      <w:tblPr/>
      <w:tcPr>
        <w:tcBorders>
          <w:top w:val="single" w:sz="8" w:space="0" w:color="B8944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89445" w:themeColor="accent5"/>
          <w:insideH w:val="nil"/>
          <w:insideV w:val="nil"/>
        </w:tcBorders>
        <w:shd w:val="clear" w:color="auto" w:fill="FFFFFF" w:themeFill="background1"/>
      </w:tcPr>
    </w:tblStylePr>
    <w:tblStylePr w:type="lastCol">
      <w:tblPr/>
      <w:tcPr>
        <w:tcBorders>
          <w:top w:val="nil"/>
          <w:left w:val="single" w:sz="8" w:space="0" w:color="B8944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B89445" w:themeColor="accent1" w:themeTint="BF"/>
        <w:left w:val="single" w:sz="8" w:space="0" w:color="B89445" w:themeColor="accent1" w:themeTint="BF"/>
        <w:bottom w:val="single" w:sz="8" w:space="0" w:color="B89445" w:themeColor="accent1" w:themeTint="BF"/>
        <w:right w:val="single" w:sz="8" w:space="0" w:color="B89445" w:themeColor="accent1" w:themeTint="BF"/>
        <w:insideH w:val="single" w:sz="8" w:space="0" w:color="B89445" w:themeColor="accent1" w:themeTint="BF"/>
        <w:insideV w:val="single" w:sz="8" w:space="0" w:color="B89445"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B89445" w:themeColor="accent1" w:themeTint="BF"/>
        </w:tcBorders>
      </w:tcPr>
    </w:tblStylePr>
    <w:tblStylePr w:type="firstCol">
      <w:rPr>
        <w:b/>
        <w:bCs/>
      </w:rPr>
    </w:tblStylePr>
    <w:tblStylePr w:type="lastCol">
      <w:rPr>
        <w:b/>
        <w:bCs/>
      </w:rPr>
    </w:tblStylePr>
    <w:tblStylePr w:type="band1Vert">
      <w:tblPr/>
      <w:tcPr>
        <w:shd w:val="clear" w:color="auto" w:fill="D4B77A" w:themeFill="accent1" w:themeFillTint="7F"/>
      </w:tcPr>
    </w:tblStylePr>
    <w:tblStylePr w:type="band1Horz">
      <w:tblPr/>
      <w:tcPr>
        <w:shd w:val="clear" w:color="auto" w:fill="D4B77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B89445" w:themeColor="accent5" w:themeTint="BF"/>
        <w:left w:val="single" w:sz="8" w:space="0" w:color="B89445" w:themeColor="accent5" w:themeTint="BF"/>
        <w:bottom w:val="single" w:sz="8" w:space="0" w:color="B89445" w:themeColor="accent5" w:themeTint="BF"/>
        <w:right w:val="single" w:sz="8" w:space="0" w:color="B89445" w:themeColor="accent5" w:themeTint="BF"/>
        <w:insideH w:val="single" w:sz="8" w:space="0" w:color="B89445" w:themeColor="accent5" w:themeTint="BF"/>
        <w:insideV w:val="single" w:sz="8" w:space="0" w:color="B89445"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B89445" w:themeColor="accent5" w:themeTint="BF"/>
        </w:tcBorders>
      </w:tcPr>
    </w:tblStylePr>
    <w:tblStylePr w:type="firstCol">
      <w:rPr>
        <w:b/>
        <w:bCs/>
      </w:rPr>
    </w:tblStylePr>
    <w:tblStylePr w:type="lastCol">
      <w:rPr>
        <w:b/>
        <w:bCs/>
      </w:rPr>
    </w:tblStylePr>
    <w:tblStylePr w:type="band1Vert">
      <w:tblPr/>
      <w:tcPr>
        <w:shd w:val="clear" w:color="auto" w:fill="D4B77A" w:themeFill="accent5" w:themeFillTint="7F"/>
      </w:tcPr>
    </w:tblStylePr>
    <w:tblStylePr w:type="band1Horz">
      <w:tblPr/>
      <w:tcPr>
        <w:shd w:val="clear" w:color="auto" w:fill="D4B77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97B35" w:themeColor="accent1"/>
        <w:left w:val="single" w:sz="8" w:space="0" w:color="A97B35" w:themeColor="accent1"/>
        <w:bottom w:val="single" w:sz="8" w:space="0" w:color="A97B35" w:themeColor="accent1"/>
        <w:right w:val="single" w:sz="8" w:space="0" w:color="A97B35" w:themeColor="accent1"/>
        <w:insideH w:val="single" w:sz="8" w:space="0" w:color="A97B35" w:themeColor="accent1"/>
        <w:insideV w:val="single" w:sz="8" w:space="0" w:color="A97B35"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D4B77A" w:themeFill="accent1" w:themeFillTint="7F"/>
      </w:tcPr>
    </w:tblStylePr>
    <w:tblStylePr w:type="band1Horz">
      <w:tblPr/>
      <w:tcPr>
        <w:tcBorders>
          <w:insideH w:val="single" w:sz="6" w:space="0" w:color="A97B35" w:themeColor="accent1"/>
          <w:insideV w:val="single" w:sz="6" w:space="0" w:color="A97B35" w:themeColor="accent1"/>
        </w:tcBorders>
        <w:shd w:val="clear" w:color="auto" w:fill="D4B7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89445" w:themeColor="accent5"/>
        <w:left w:val="single" w:sz="8" w:space="0" w:color="B89445" w:themeColor="accent5"/>
        <w:bottom w:val="single" w:sz="8" w:space="0" w:color="B89445" w:themeColor="accent5"/>
        <w:right w:val="single" w:sz="8" w:space="0" w:color="B89445" w:themeColor="accent5"/>
        <w:insideH w:val="single" w:sz="8" w:space="0" w:color="B89445" w:themeColor="accent5"/>
        <w:insideV w:val="single" w:sz="8" w:space="0" w:color="B89445"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D4B77A" w:themeFill="accent5" w:themeFillTint="7F"/>
      </w:tcPr>
    </w:tblStylePr>
    <w:tblStylePr w:type="band1Horz">
      <w:tblPr/>
      <w:tcPr>
        <w:tcBorders>
          <w:insideH w:val="single" w:sz="6" w:space="0" w:color="B89445" w:themeColor="accent5"/>
          <w:insideV w:val="single" w:sz="6" w:space="0" w:color="B89445" w:themeColor="accent5"/>
        </w:tcBorders>
        <w:shd w:val="clear" w:color="auto" w:fill="D4B77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7B3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7B3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7B3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7B3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7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77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8944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8944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8944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8944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77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77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97B3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642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97B3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97B35" w:themeFill="accent1" w:themeFillShade="BF"/>
      </w:tcPr>
    </w:tblStylePr>
    <w:tblStylePr w:type="band1Vert">
      <w:tblPr/>
      <w:tcPr>
        <w:tcBorders>
          <w:top w:val="nil"/>
          <w:left w:val="nil"/>
          <w:bottom w:val="nil"/>
          <w:right w:val="nil"/>
          <w:insideH w:val="nil"/>
          <w:insideV w:val="nil"/>
        </w:tcBorders>
        <w:shd w:val="clear" w:color="auto" w:fill="A97B35" w:themeFill="accent1" w:themeFillShade="BF"/>
      </w:tcPr>
    </w:tblStylePr>
    <w:tblStylePr w:type="band1Horz">
      <w:tblPr/>
      <w:tcPr>
        <w:tcBorders>
          <w:top w:val="nil"/>
          <w:left w:val="nil"/>
          <w:bottom w:val="nil"/>
          <w:right w:val="nil"/>
          <w:insideH w:val="nil"/>
          <w:insideV w:val="nil"/>
        </w:tcBorders>
        <w:shd w:val="clear" w:color="auto" w:fill="A97B3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8944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642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97B3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97B35" w:themeFill="accent5" w:themeFillShade="BF"/>
      </w:tcPr>
    </w:tblStylePr>
    <w:tblStylePr w:type="band1Vert">
      <w:tblPr/>
      <w:tcPr>
        <w:tcBorders>
          <w:top w:val="nil"/>
          <w:left w:val="nil"/>
          <w:bottom w:val="nil"/>
          <w:right w:val="nil"/>
          <w:insideH w:val="nil"/>
          <w:insideV w:val="nil"/>
        </w:tcBorders>
        <w:shd w:val="clear" w:color="auto" w:fill="A97B35" w:themeFill="accent5" w:themeFillShade="BF"/>
      </w:tcPr>
    </w:tblStylePr>
    <w:tblStylePr w:type="band1Horz">
      <w:tblPr/>
      <w:tcPr>
        <w:tcBorders>
          <w:top w:val="nil"/>
          <w:left w:val="nil"/>
          <w:bottom w:val="nil"/>
          <w:right w:val="nil"/>
          <w:insideH w:val="nil"/>
          <w:insideV w:val="nil"/>
        </w:tcBorders>
        <w:shd w:val="clear" w:color="auto" w:fill="A97B3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A97B35" w:themeColor="accent1"/>
        <w:bottom w:val="single" w:sz="4" w:space="0" w:color="A97B35" w:themeColor="accent1"/>
        <w:right w:val="single" w:sz="4" w:space="0" w:color="A97B3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642C" w:themeFill="accent1" w:themeFillShade="99"/>
      </w:tcPr>
    </w:tblStylePr>
    <w:tblStylePr w:type="firstCol">
      <w:rPr>
        <w:color w:val="FFFFFF" w:themeColor="background1"/>
      </w:rPr>
      <w:tblPr/>
      <w:tcPr>
        <w:tcBorders>
          <w:top w:val="nil"/>
          <w:left w:val="nil"/>
          <w:bottom w:val="nil"/>
          <w:right w:val="nil"/>
          <w:insideH w:val="single" w:sz="4" w:space="0" w:color="8A642C" w:themeColor="accent1" w:themeShade="99"/>
          <w:insideV w:val="nil"/>
        </w:tcBorders>
        <w:shd w:val="clear" w:color="auto" w:fill="8A642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A642C" w:themeFill="accent1" w:themeFillShade="99"/>
      </w:tcPr>
    </w:tblStylePr>
    <w:tblStylePr w:type="band1Vert">
      <w:tblPr/>
      <w:tcPr>
        <w:shd w:val="clear" w:color="auto" w:fill="D4B77A" w:themeFill="accent1" w:themeFillTint="66"/>
      </w:tcPr>
    </w:tblStylePr>
    <w:tblStylePr w:type="band1Horz">
      <w:tblPr/>
      <w:tcPr>
        <w:shd w:val="clear" w:color="auto" w:fill="D4B7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B89445" w:themeColor="accent5"/>
        <w:bottom w:val="single" w:sz="4" w:space="0" w:color="B89445" w:themeColor="accent5"/>
        <w:right w:val="single" w:sz="4" w:space="0" w:color="B8944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7B35" w:themeFill="accent5" w:themeFillShade="99"/>
      </w:tcPr>
    </w:tblStylePr>
    <w:tblStylePr w:type="firstCol">
      <w:rPr>
        <w:color w:val="FFFFFF" w:themeColor="background1"/>
      </w:rPr>
      <w:tblPr/>
      <w:tcPr>
        <w:tcBorders>
          <w:top w:val="nil"/>
          <w:left w:val="nil"/>
          <w:bottom w:val="nil"/>
          <w:right w:val="nil"/>
          <w:insideH w:val="single" w:sz="4" w:space="0" w:color="A97B35" w:themeColor="accent5" w:themeShade="99"/>
          <w:insideV w:val="nil"/>
        </w:tcBorders>
        <w:shd w:val="clear" w:color="auto" w:fill="A97B3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97B35" w:themeFill="accent5" w:themeFillShade="99"/>
      </w:tcPr>
    </w:tblStylePr>
    <w:tblStylePr w:type="band1Vert">
      <w:tblPr/>
      <w:tcPr>
        <w:shd w:val="clear" w:color="auto" w:fill="D4B77A" w:themeFill="accent5" w:themeFillTint="66"/>
      </w:tcPr>
    </w:tblStylePr>
    <w:tblStylePr w:type="band1Horz">
      <w:tblPr/>
      <w:tcPr>
        <w:shd w:val="clear" w:color="auto" w:fill="D4B77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89445"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B8944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A97B35" w:themeFill="accent5" w:themeFillShade="CC"/>
      </w:tcPr>
    </w:tblStylePr>
    <w:tblStylePr w:type="lastRow">
      <w:rPr>
        <w:b/>
        <w:bCs/>
        <w:color w:val="A97B3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D4B77A" w:themeFill="accent1" w:themeFillTint="66"/>
      </w:tcPr>
    </w:tblStylePr>
    <w:tblStylePr w:type="lastRow">
      <w:rPr>
        <w:b/>
        <w:bCs/>
        <w:color w:val="000000" w:themeColor="text1"/>
      </w:rPr>
      <w:tblPr/>
      <w:tcPr>
        <w:shd w:val="clear" w:color="auto" w:fill="D4B77A" w:themeFill="accent1" w:themeFillTint="66"/>
      </w:tcPr>
    </w:tblStylePr>
    <w:tblStylePr w:type="firstCol">
      <w:rPr>
        <w:color w:val="FFFFFF" w:themeColor="background1"/>
      </w:rPr>
      <w:tblPr/>
      <w:tcPr>
        <w:shd w:val="clear" w:color="auto" w:fill="A97B35" w:themeFill="accent1" w:themeFillShade="BF"/>
      </w:tcPr>
    </w:tblStylePr>
    <w:tblStylePr w:type="lastCol">
      <w:rPr>
        <w:color w:val="FFFFFF" w:themeColor="background1"/>
      </w:rPr>
      <w:tblPr/>
      <w:tcPr>
        <w:shd w:val="clear" w:color="auto" w:fill="A97B35" w:themeFill="accent1" w:themeFillShade="BF"/>
      </w:tcPr>
    </w:tblStylePr>
    <w:tblStylePr w:type="band1Vert">
      <w:tblPr/>
      <w:tcPr>
        <w:shd w:val="clear" w:color="auto" w:fill="D4B77A" w:themeFill="accent1" w:themeFillTint="7F"/>
      </w:tcPr>
    </w:tblStylePr>
    <w:tblStylePr w:type="band1Horz">
      <w:tblPr/>
      <w:tcPr>
        <w:shd w:val="clear" w:color="auto" w:fill="D4B77A"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D4B77A" w:themeFill="accent5" w:themeFillTint="66"/>
      </w:tcPr>
    </w:tblStylePr>
    <w:tblStylePr w:type="lastRow">
      <w:rPr>
        <w:b/>
        <w:bCs/>
        <w:color w:val="000000" w:themeColor="text1"/>
      </w:rPr>
      <w:tblPr/>
      <w:tcPr>
        <w:shd w:val="clear" w:color="auto" w:fill="D4B77A" w:themeFill="accent5" w:themeFillTint="66"/>
      </w:tcPr>
    </w:tblStylePr>
    <w:tblStylePr w:type="firstCol">
      <w:rPr>
        <w:color w:val="FFFFFF" w:themeColor="background1"/>
      </w:rPr>
      <w:tblPr/>
      <w:tcPr>
        <w:shd w:val="clear" w:color="auto" w:fill="A97B35" w:themeFill="accent5" w:themeFillShade="BF"/>
      </w:tcPr>
    </w:tblStylePr>
    <w:tblStylePr w:type="lastCol">
      <w:rPr>
        <w:color w:val="FFFFFF" w:themeColor="background1"/>
      </w:rPr>
      <w:tblPr/>
      <w:tcPr>
        <w:shd w:val="clear" w:color="auto" w:fill="A97B35" w:themeFill="accent5" w:themeFillShade="BF"/>
      </w:tcPr>
    </w:tblStylePr>
    <w:tblStylePr w:type="band1Vert">
      <w:tblPr/>
      <w:tcPr>
        <w:shd w:val="clear" w:color="auto" w:fill="D4B77A" w:themeFill="accent5" w:themeFillTint="7F"/>
      </w:tcPr>
    </w:tblStylePr>
    <w:tblStylePr w:type="band1Horz">
      <w:tblPr/>
      <w:tcPr>
        <w:shd w:val="clear" w:color="auto" w:fill="D4B77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8A642C"/>
      </a:dk2>
      <a:lt2>
        <a:srgbClr val="EEECE1"/>
      </a:lt2>
      <a:accent1>
        <a:srgbClr val="A97B35"/>
      </a:accent1>
      <a:accent2>
        <a:srgbClr val="C0504D"/>
      </a:accent2>
      <a:accent3>
        <a:srgbClr val="9BBB59"/>
      </a:accent3>
      <a:accent4>
        <a:srgbClr val="8064A2"/>
      </a:accent4>
      <a:accent5>
        <a:srgbClr val="B89445"/>
      </a:accent5>
      <a:accent6>
        <a:srgbClr val="F79646"/>
      </a:accent6>
      <a:hlink>
        <a:srgbClr val="8A642C"/>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Tree Care Estimator Field Manual</dc:title>
  <dc:subject>Estimator training, sales, prescriptive pruning, production estimating, PHC discovery, and client expectations</dc:subject>
  <dc:creator>Total Tree 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