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«Управление программными проектами»</w:t>
      </w:r>
    </w:p>
    <w:p>
      <w:pPr>
        <w:jc w:val="center"/>
      </w:pPr>
      <w:r>
        <w:t>Лабораторная работа №5</w:t>
      </w:r>
    </w:p>
    <w:p>
      <w:pPr>
        <w:pStyle w:val="Title"/>
        <w:jc w:val="center"/>
      </w:pPr>
      <w:r>
        <w:t>Календарный план проекта</w:t>
      </w:r>
    </w:p>
    <w:p>
      <w:pPr>
        <w:jc w:val="center"/>
      </w:pPr>
      <w:r>
        <w:t>Разработка системы мониторинга и прогнозирования денежных потоков малого бизнеса «Бизнес.Пульс»</w:t>
      </w:r>
    </w:p>
    <w:p>
      <w:r>
        <w:t>Исполнитель: Команда проекта</w:t>
      </w:r>
    </w:p>
    <w:p>
      <w:r>
        <w:t>ФИО / группа / вуз: заполняются командой перед сдачей</w:t>
      </w:r>
    </w:p>
    <w:p>
      <w:r>
        <w:t>Плановый период проекта: 1–30 сентября 2026 года. Подготовлено: 7 октября 2026 года.</w:t>
      </w:r>
    </w:p>
    <w:p>
      <w:r>
        <w:t>Сроки ниже — учебный план; текущие файлы не подтверждают исторические даты или личное авторство.</w:t>
      </w:r>
    </w:p>
    <w:p>
      <w:pPr>
        <w:pStyle w:val="Heading1"/>
      </w:pPr>
      <w:r>
        <w:t>Длительности и контрольные даты</w:t>
      </w:r>
    </w:p>
    <w:p>
      <w:r>
        <w:t>Длительности и трудоёмкость каждой работы взяты из ЛР4. Работы распределены по всем пяти рабочим неделям сентября. Первая контрольная точка — 18.09, вторая — 30.09. Даты являются планом учебного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</w:tcPr>
          <w:p>
            <w:r>
              <w:rPr>
                <w:sz w:val="15"/>
              </w:rPr>
              <w:t>Этап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Период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Работы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Результат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01–04.09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A1, B1, C1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Контракты и сценарии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07–11.09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A2, B2, C2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База, расчёты, экран данных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14–18.09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A3, B3, C3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Импорт, аналитика, UI; КТ1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21–25.09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A4, B4, C4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Интегрированный MVP</w:t>
            </w:r>
          </w:p>
        </w:tc>
      </w:tr>
      <w:tr>
        <w:tc>
          <w:tcPr>
            <w:tcW w:type="dxa" w:w="259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28–30.09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A5, B5, C5, C6</w:t>
            </w:r>
          </w:p>
        </w:tc>
        <w:tc>
          <w:tcPr>
            <w:tcW w:type="dxa" w:w="2592"/>
          </w:tcPr>
          <w:p>
            <w:r>
              <w:rPr>
                <w:sz w:val="15"/>
              </w:rPr>
              <w:t>QA, материалы; КТ2</w:t>
            </w:r>
          </w:p>
        </w:tc>
      </w:tr>
    </w:tbl>
    <w:p>
      <w:pPr>
        <w:pStyle w:val="Heading1"/>
      </w:pPr>
      <w:r>
        <w:t>Сетевой график</w:t>
      </w:r>
    </w:p>
    <w:p>
      <w:r>
        <w:drawing>
          <wp:inline xmlns:a="http://schemas.openxmlformats.org/drawingml/2006/main" xmlns:pic="http://schemas.openxmlformats.org/drawingml/2006/picture">
            <wp:extent cx="5760000" cy="21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Стрелки внутри каждого потока отражают последовательность работ. Межпоточные зависимости: C2 использует контракт A1; B3 — схему A2; C3 — метрики B2; интеграция C4 следует за A4 и B4.</w:t>
      </w:r>
    </w:p>
    <w:p>
      <w:pPr>
        <w:pStyle w:val="Heading1"/>
      </w:pPr>
      <w:r>
        <w:t>Диаграмма Ганта</w:t>
      </w:r>
    </w:p>
    <w:p>
      <w:r>
        <w:drawing>
          <wp:inline xmlns:a="http://schemas.openxmlformats.org/drawingml/2006/main" xmlns:pic="http://schemas.openxmlformats.org/drawingml/2006/picture">
            <wp:extent cx="576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Вывод</w:t>
      </w:r>
    </w:p>
    <w:p>
      <w:r>
        <w:t>Работы стартуют параллельно и завершаются общими проверками. У каждого участника 50 часов; у обоих backend-разработчиков одинаковый объём QA — 8 часов. Главный календарный резерв следует беречь для связки API и интерфейса к 25 сентября.</w:t>
      </w:r>
    </w:p>
    <w:sectPr w:rsidR="00FC693F" w:rsidRPr="0006063C" w:rsidSect="00034616">
      <w:pgSz w:w="12240" w:h="15840"/>
      <w:pgMar w:top="794" w:right="85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