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{{paper_num}}</w:t>
      </w:r>
    </w:p>
    <w:tbl>
      <w:tblPr>
        <w:tblStyle w:val="36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{{to_mail}}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{{project_name}}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{{data_selected}}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ind w:firstLine="3570" w:firstLineChars="1700"/>
              <w:jc w:val="right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开始时间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start_date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结束时间: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end_date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申请人/申请日期: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580C46"/>
    <w:rsid w:val="19EF70BA"/>
    <w:rsid w:val="1AE345C7"/>
    <w:rsid w:val="1BD643E9"/>
    <w:rsid w:val="328A64D7"/>
    <w:rsid w:val="360E31AD"/>
    <w:rsid w:val="374F5C6F"/>
    <w:rsid w:val="4A8F705B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3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table" w:styleId="37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Heading 1 Char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Title Char"/>
    <w:basedOn w:val="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Subtitle Char"/>
    <w:basedOn w:val="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2">
    <w:name w:val="List Paragraph"/>
    <w:basedOn w:val="1"/>
    <w:qFormat/>
    <w:uiPriority w:val="34"/>
    <w:pPr>
      <w:ind w:left="720"/>
      <w:contextualSpacing/>
    </w:pPr>
  </w:style>
  <w:style w:type="character" w:customStyle="1" w:styleId="143">
    <w:name w:val="Body Text Char"/>
    <w:basedOn w:val="33"/>
    <w:link w:val="19"/>
    <w:qFormat/>
    <w:uiPriority w:val="99"/>
  </w:style>
  <w:style w:type="character" w:customStyle="1" w:styleId="144">
    <w:name w:val="Body Text 2 Char"/>
    <w:basedOn w:val="33"/>
    <w:link w:val="28"/>
    <w:qFormat/>
    <w:uiPriority w:val="99"/>
  </w:style>
  <w:style w:type="character" w:customStyle="1" w:styleId="145">
    <w:name w:val="Body Text 3 Char"/>
    <w:basedOn w:val="33"/>
    <w:link w:val="17"/>
    <w:qFormat/>
    <w:uiPriority w:val="99"/>
    <w:rPr>
      <w:sz w:val="16"/>
      <w:szCs w:val="16"/>
    </w:rPr>
  </w:style>
  <w:style w:type="character" w:customStyle="1" w:styleId="146">
    <w:name w:val="Macro Text Char"/>
    <w:basedOn w:val="33"/>
    <w:link w:val="13"/>
    <w:qFormat/>
    <w:uiPriority w:val="99"/>
    <w:rPr>
      <w:rFonts w:ascii="Courier" w:hAnsi="Courier"/>
      <w:sz w:val="20"/>
      <w:szCs w:val="20"/>
    </w:rPr>
  </w:style>
  <w:style w:type="paragraph" w:styleId="147">
    <w:name w:val="Quote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Quote Char"/>
    <w:basedOn w:val="3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5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Intense Quote Char"/>
    <w:basedOn w:val="3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2018-01-19T08:04:23Z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